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284" w:type="dxa"/>
        <w:tblLook w:val="04A0" w:firstRow="1" w:lastRow="0" w:firstColumn="1" w:lastColumn="0" w:noHBand="0" w:noVBand="1"/>
      </w:tblPr>
      <w:tblGrid>
        <w:gridCol w:w="15310"/>
      </w:tblGrid>
      <w:tr w:rsidR="003C6A23" w:rsidRPr="00CB080A" w:rsidTr="0094535B">
        <w:trPr>
          <w:trHeight w:val="975"/>
        </w:trPr>
        <w:tc>
          <w:tcPr>
            <w:tcW w:w="153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8752E6" w:rsidRDefault="00F74255" w:rsidP="0094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>О</w:t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2"/>
                <w:lang w:eastAsia="ru-RU"/>
              </w:rPr>
              <w:t xml:space="preserve">тчет </w:t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br/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плана мероприятий </w:t>
            </w:r>
          </w:p>
          <w:p w:rsidR="003C6A23" w:rsidRPr="008752E6" w:rsidRDefault="003C6A23" w:rsidP="0094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(«дорожная карта») по поддержке доступа немуниципальных организаций (коммерческих, некоммерческих), индивидуальных предпринимателей, к предоставлению услуг в социальной сфере </w:t>
            </w:r>
          </w:p>
          <w:p w:rsidR="008752E6" w:rsidRPr="008752E6" w:rsidRDefault="003C6A23" w:rsidP="0094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территории города Сургута на 2021-2025 годы</w:t>
            </w:r>
            <w:r w:rsidR="00F74255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установленный постановлением Администрации города от </w:t>
            </w:r>
            <w:proofErr w:type="spellStart"/>
            <w:r w:rsidR="00F74255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spellEnd"/>
            <w:r w:rsidR="00F74255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19 марта 2021 г. N 410 "Об утверждении плана мероприятий ("дорожная карта")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2021 - 2025 годы"</w:t>
            </w: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C6A23" w:rsidRPr="008752E6" w:rsidRDefault="00F74255" w:rsidP="0094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(с изменениями от 24.06.2021) </w:t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3C6A23" w:rsidRPr="008752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2021 года</w:t>
            </w:r>
          </w:p>
          <w:p w:rsidR="003C6A23" w:rsidRPr="00CB080A" w:rsidRDefault="003C6A23" w:rsidP="00945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8"/>
                <w:lang w:eastAsia="ru-RU"/>
              </w:rPr>
            </w:pPr>
          </w:p>
        </w:tc>
      </w:tr>
      <w:tr w:rsidR="003C6A23" w:rsidRPr="00CB080A" w:rsidTr="008752E6">
        <w:trPr>
          <w:trHeight w:val="780"/>
        </w:trPr>
        <w:tc>
          <w:tcPr>
            <w:tcW w:w="153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A23" w:rsidRPr="00CB080A" w:rsidRDefault="003C6A23" w:rsidP="0094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6A23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922"/>
        <w:gridCol w:w="2793"/>
        <w:gridCol w:w="6069"/>
      </w:tblGrid>
      <w:tr w:rsidR="003C6A23" w:rsidTr="00FE2D99">
        <w:tc>
          <w:tcPr>
            <w:tcW w:w="776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68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028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5388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</w:tr>
      <w:tr w:rsidR="003C6A23" w:rsidTr="00FE2D99">
        <w:tc>
          <w:tcPr>
            <w:tcW w:w="776" w:type="dxa"/>
            <w:shd w:val="clear" w:color="auto" w:fill="FFF2CC" w:themeFill="accent4" w:themeFillTint="33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784" w:type="dxa"/>
            <w:gridSpan w:val="3"/>
            <w:shd w:val="clear" w:color="auto" w:fill="FFF2CC" w:themeFill="accent4" w:themeFillTint="33"/>
            <w:vAlign w:val="center"/>
          </w:tcPr>
          <w:p w:rsidR="003C6A23" w:rsidRPr="00CB080A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нормативной правовой базы по обеспечению доступа немуниципальных организаций, в том числе социально ориентированных некоммерческих организаций, индивидуальных предпринимателей, к предоставлению услуг в социальной сфере</w:t>
            </w:r>
          </w:p>
        </w:tc>
      </w:tr>
      <w:tr w:rsidR="003C6A23" w:rsidTr="00FE2D99">
        <w:tc>
          <w:tcPr>
            <w:tcW w:w="776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68" w:type="dxa"/>
            <w:vAlign w:val="center"/>
          </w:tcPr>
          <w:p w:rsidR="003C6A23" w:rsidRPr="00CB080A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реестра поставщиков услуг социальной сферы, включая немуниципальные организации, индивидуальных предпринимателей, в том числе социально ориентированные некоммерческие организации</w:t>
            </w:r>
          </w:p>
        </w:tc>
        <w:tc>
          <w:tcPr>
            <w:tcW w:w="3028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01.04.2021, ежегодно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01 марта</w:t>
            </w:r>
          </w:p>
        </w:tc>
        <w:tc>
          <w:tcPr>
            <w:tcW w:w="5388" w:type="dxa"/>
            <w:vMerge w:val="restart"/>
          </w:tcPr>
          <w:p w:rsidR="003C6A23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Актуальная информация о деятельности поставщиков услуг в социальной сфере, перечень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 размещены на официальном портале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города Сургута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слайдере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C6A23" w:rsidRPr="00CB080A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Ссылка: </w:t>
            </w:r>
            <w:r w:rsidRPr="004E0D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http://admsurgut.ru/rubric/21984/Podderzhka-dostupa-nemunicipalnyh-organizaciy-k-predostavleniyu-uslug-v-socialnoy-sfere</w:t>
            </w:r>
          </w:p>
        </w:tc>
      </w:tr>
      <w:tr w:rsidR="003C6A23" w:rsidTr="00FE2D99">
        <w:tc>
          <w:tcPr>
            <w:tcW w:w="776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68" w:type="dxa"/>
            <w:vAlign w:val="center"/>
          </w:tcPr>
          <w:p w:rsidR="003C6A23" w:rsidRPr="00CB080A" w:rsidRDefault="003C6A23" w:rsidP="003C6A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перечня услуг,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организациям, индивидуальным предпринимателям, в том числе социально ориентированным некоммерческим организациям, а также размещение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указанного перечня на официальном портале Администрации города</w:t>
            </w:r>
          </w:p>
        </w:tc>
        <w:tc>
          <w:tcPr>
            <w:tcW w:w="3028" w:type="dxa"/>
            <w:vAlign w:val="center"/>
          </w:tcPr>
          <w:p w:rsidR="003C6A23" w:rsidRPr="00CB080A" w:rsidRDefault="003C6A23" w:rsidP="003C6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 01.04.2021, ежегодно,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позднее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15 декабря текущего года</w:t>
            </w:r>
          </w:p>
        </w:tc>
        <w:tc>
          <w:tcPr>
            <w:tcW w:w="5388" w:type="dxa"/>
            <w:vMerge/>
          </w:tcPr>
          <w:p w:rsidR="003C6A23" w:rsidRDefault="003C6A23" w:rsidP="003C6A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и в полном объеме информационно-правовое обеспечение деятельности  по осуществлению социально ориентированными некоммерческими организациями полномочий по подготовке граждан, выразивших желание стать опекунами или попечителями несовершеннолетних граждан 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388" w:type="dxa"/>
          </w:tcPr>
          <w:p w:rsidR="00FE2D99" w:rsidRDefault="00FE2D99" w:rsidP="00FE2D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10200">
              <w:rPr>
                <w:rFonts w:ascii="Times New Roman" w:hAnsi="Times New Roman" w:cs="Times New Roman"/>
                <w:sz w:val="28"/>
                <w:szCs w:val="28"/>
              </w:rPr>
              <w:t>беспечивает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610200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правовым базам по вопросу деятельности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 </w:t>
            </w:r>
          </w:p>
          <w:p w:rsidR="00FE2D99" w:rsidRPr="00E85A16" w:rsidRDefault="00FE2D99" w:rsidP="00845A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84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</w:t>
            </w: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по заявлению граждан выдано 156</w:t>
            </w:r>
            <w:r w:rsidR="00845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сертификатов</w:t>
            </w: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подготовку граждан, 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368" w:type="dxa"/>
          </w:tcPr>
          <w:p w:rsidR="00FE2D99" w:rsidRPr="003053A7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нормативных правовых актов, регулирующих взаимодействие участие субъектов малого и среднего предпринимательства, социально ориентированных некоммерческих организаций </w:t>
            </w:r>
          </w:p>
          <w:p w:rsidR="00FE2D99" w:rsidRPr="003053A7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передаче им части услуг в сфере физической культуры и спорта на предмет выявления </w:t>
            </w:r>
          </w:p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устранения административных барьеров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388" w:type="dxa"/>
            <w:vAlign w:val="center"/>
          </w:tcPr>
          <w:p w:rsidR="002F5867" w:rsidRDefault="002F5867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период внесены изменения в следующие нормативные правовые акты:</w:t>
            </w:r>
          </w:p>
          <w:p w:rsidR="00FE2D99" w:rsidRPr="002F5867" w:rsidRDefault="002F5867" w:rsidP="00E62F62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F586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овление Администрации города</w:t>
            </w:r>
            <w:r w:rsidR="00E62F6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от 24.07.2020 </w:t>
            </w:r>
            <w:r w:rsidRPr="002F586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№ 5037 «О порядке предоставления субсидий коммерческим организациям, индивидуальным предпринимателям в связи с выполнением работ в сфере физической культуры и спорта в соответствии с перечнем, установленным муниципальным правов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 акто</w:t>
            </w:r>
            <w:r w:rsidR="00E6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Администрации города» ( 2 изменения)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</w:t>
            </w:r>
            <w:r w:rsidRPr="002F5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 w:rsidR="00E6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24.07. 2020 </w:t>
            </w:r>
            <w:r w:rsidRPr="002F5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 5038 «О порядках предоставления </w:t>
            </w:r>
            <w:r w:rsidRPr="002F5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субсидий некоммерческим организациям, не являющимся государственными (муниципальными) учреждениями, в связи с выполнением работ в сфере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</w:t>
            </w:r>
            <w:r w:rsidR="00E62F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еской культуры и спорта» (одно изменение)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комплексного анализа оказания и потребности населения в услугах сферы физической культуры и спорта, предоставляемых муниципальными организациями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388" w:type="dxa"/>
            <w:vAlign w:val="center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 а</w:t>
            </w: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нализ оказания и потребности населения в услугах сферы физической культуры и спорта, предоставляем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муниципальными организациями</w:t>
            </w:r>
            <w:r w:rsidR="00D91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9198E" w:rsidRPr="00D9198E" w:rsidRDefault="00D9198E" w:rsidP="00D9198E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919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ополнение новыми работами переч</w:t>
            </w:r>
            <w:r w:rsidRPr="00D919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</w:t>
            </w:r>
          </w:p>
          <w:p w:rsidR="00D9198E" w:rsidRPr="00D9198E" w:rsidRDefault="00D9198E" w:rsidP="00D9198E">
            <w:pPr>
              <w:pStyle w:val="a6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D9198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некоммерческим организациям, </w:t>
            </w:r>
          </w:p>
          <w:p w:rsidR="00D9198E" w:rsidRPr="003053A7" w:rsidRDefault="00D9198E" w:rsidP="00D919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91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индивидуальным предпринимателям (распоряжение Администрации города от 01.03.2017 № 288) не требуется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перечня услуг в сфере физической культуры и спорта, которые могут быть переданы на исполнение немуниципальным поставщикам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 до 01 июня</w:t>
            </w:r>
          </w:p>
        </w:tc>
        <w:tc>
          <w:tcPr>
            <w:tcW w:w="5388" w:type="dxa"/>
            <w:vAlign w:val="center"/>
          </w:tcPr>
          <w:p w:rsidR="00FE2D99" w:rsidRPr="003053A7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05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основании проведенного анализа перечня услуг в сфере физической культуры и спорта, которые могут быть переданы на исполнение немуниципальным поставщикам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состоянию на 01.10.2</w:t>
            </w:r>
            <w:r w:rsidR="00845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021 актуализация перечня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требуется</w:t>
            </w:r>
          </w:p>
        </w:tc>
      </w:tr>
      <w:tr w:rsidR="00FE2D99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взаимодействия и информационно-консультационной поддержки с немуниципальными организациями (коммерческими, некоммерческими), индивидуальными предпринимателями, оказывающими услуги в социальной сфере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семинаров, совещаний, круглых столов для добровольцев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немуниципальных организаций, в том числе социально ориентированных некоммерческих организаций, индивидуальных предпринимателей, предоставляющих услуги в социальной сфере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388" w:type="dxa"/>
            <w:vAlign w:val="center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предпринимательства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постоянной основе проводятся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вебинары</w:t>
            </w:r>
            <w:bookmarkStart w:id="0" w:name="_GoBack"/>
            <w:bookmarkEnd w:id="0"/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Корпорация МСП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которых рассмотрены вопросы о существующих мерах поддержки субъектов МСП, в том числе социальных предпри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ятий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277E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 2021 год проведено 11 вебинаров.</w:t>
            </w:r>
          </w:p>
          <w:p w:rsidR="00FE2D99" w:rsidRPr="00350D2B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24.05.2021 в ежедневном режиме проводятся онлайн-консультации по вопросу формирования пакета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 для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предпри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ятий,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предоставление финансовой поддержки в рамках реализации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малого и среднего предпринимательства в городе Сургуте на период до 2030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C2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за отчетный период проведено более 100 консультаций.</w:t>
            </w:r>
          </w:p>
          <w:p w:rsidR="00FE2D99" w:rsidRPr="00350D2B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сфере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добровольчества (</w:t>
            </w:r>
            <w:proofErr w:type="spellStart"/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волонтерства</w:t>
            </w:r>
            <w:proofErr w:type="spellEnd"/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):</w:t>
            </w:r>
            <w:r w:rsidR="00875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проведено 3 онлайн </w:t>
            </w:r>
            <w:proofErr w:type="spellStart"/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вебинара</w:t>
            </w:r>
            <w:proofErr w:type="spellEnd"/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добровольцев</w:t>
            </w:r>
            <w:r w:rsidR="0074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СО НКО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2D99" w:rsidRPr="00350D2B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мероприятия по оказанию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подпрограммы 3 «Поддержка социально ориентированных некоммерческих организаций» муниципальной программы «Развитие гражданского общества в городе Сургуте на период 2030 года» пров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едены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семинары для представителей некоммерче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организаций города Сургута: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2D99" w:rsidRPr="00350D2B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25-26 мая 2021 года состоялся семинар для наблюдателей, из числа добровольцев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(волонтеров) социально ориентированных некоммерческих организаций по теме: «Общественное наблюдение за выборами в единый день голосования в 2021 году».</w:t>
            </w:r>
          </w:p>
          <w:p w:rsidR="00FE2D99" w:rsidRPr="00CB080A" w:rsidRDefault="00FE2D99" w:rsidP="007435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</w:t>
            </w:r>
            <w:r w:rsidR="0074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запланировано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оведению</w:t>
            </w:r>
            <w:r w:rsidR="0074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семинаров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4 квартале 2021 года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организационно-методической, консультационной и информационной поддержки немуниципальным организациям, в том числе социально ориентированным некоммерческим организациям, индивидуальным предпринимателям, оказывающим населению услуги в социальной сфере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388" w:type="dxa"/>
            <w:vAlign w:val="center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проведено 30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организованных образовательных мероприятий по вопросам деятельности негосударственных образовательных организаций, в том числе: 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мероприятия, организованных в рамках деятельности городских методических объединений педагогических работников образовательных учреждений, реализующих образовательные программы дошкольного образования; 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рабочих совещания по вопросам реализации программ дополнительного образования, 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- 15 консультаций;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2D99" w:rsidRPr="00350D2B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- 9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совещаний с представителями негосударственных (немуниципальных) организаций по реализации программ отдыха и оздоровления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проведено 47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консультаций для организаций частной формы собственности и индивидуальных предпринимателей, осуществляющих деятельность в сфере культуры, по вопросам получения субсидии.</w:t>
            </w:r>
          </w:p>
          <w:p w:rsidR="00FE2D99" w:rsidRPr="00BD41ED" w:rsidRDefault="00FE2D99" w:rsidP="00FE2D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В сфере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437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564377" w:rsidRPr="00BD4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роведено более </w:t>
            </w:r>
            <w:r w:rsidR="0056437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564377" w:rsidRPr="00BD4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консультаций по вопросам </w:t>
            </w:r>
            <w:r w:rsidR="00564377" w:rsidRPr="00BD41E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предоставления субсидий.</w:t>
            </w:r>
            <w:r w:rsidR="005643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64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рганизационно-методическая, консультационная и информационная поддержка немуниципальным организациям, в том числе социально ориентированным некоммерческим организациям, индивидуальным предпринимателям, оказывающим населению услуги в сфе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 физической культуры и спорта,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 в рабочем порядке.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3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внешних и общественных связей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: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63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консультационная поддержка некоммерческим организациям оказывается по мере поступления обращений</w:t>
            </w:r>
            <w:r w:rsidR="00743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оказано около 300 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участия некоммерческих организаций в федеральных, региональных и муниципальных конкурсах на предоставление грантов Администрацией города оказывается информационная, консультационная и методическая поддержка, также по запросу общественных организаций составляются рекомендательные письма. Информация о проведении конкурсов грантов, о деятельности НКО размещается на официальном портале Администрации города в разделе «Общественные связи» и «СМИ о деятельности НКО».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8810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отчетный </w:t>
            </w:r>
            <w:r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опубликовано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254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E2D99" w:rsidRPr="00CB080A" w:rsidRDefault="00A80381" w:rsidP="00923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разделе «Общественные связи»;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8 –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«СМИ о деятельности НКО»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Оказание организационно-методической, 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консультационной и информационной поддержки СО НКО города Сургута в рамках проведения заявочной кампании конкурса на предоставление гранта Губернатора Югры, Международной Премии #</w:t>
            </w:r>
            <w:proofErr w:type="spellStart"/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МыВместе</w:t>
            </w:r>
            <w:proofErr w:type="spellEnd"/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международного молодежного конкурса социальной антикоррупционной рекламы «Вместе против коррупции», конкурса проектов «Бюджет для граждан», конкурса социально значимых проектов «Мой проект – моей стране!»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FE2D99">
              <w:t xml:space="preserve"> </w:t>
            </w:r>
            <w:r w:rsidR="00FE2D99" w:rsidRPr="00F0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Всероссийского проекта «Многодетная Россия», кампании «Я прививки не боюсь» в рамках Всероссийской акции взаимопомощи #Мы вместе, заявочной кампании на предоставление грантов Президента Российской Федерации на реализацию проектов в области культуры, искусства и креативных (творческих) индустрий, Всероссийском конкурсе «Портфолио гражданского лидера», федеральной акции – </w:t>
            </w:r>
            <w:proofErr w:type="spellStart"/>
            <w:r w:rsidR="00FE2D99" w:rsidRPr="00F0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 w:rsidR="00FE2D99" w:rsidRPr="00F0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#</w:t>
            </w:r>
            <w:proofErr w:type="spellStart"/>
            <w:r w:rsidR="00FE2D99" w:rsidRPr="00F0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говорюСпасибо</w:t>
            </w:r>
            <w:proofErr w:type="spellEnd"/>
            <w:r w:rsidR="00FE2D99" w:rsidRPr="00F01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окружного детского конкурса на языках коренных малочисленных народов Севера «История родовых поселений», II Всероссийской общественной премии за личный вклад в этнокультурное развитие и укрепление единства народов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России «Гордость Нации – 2021»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Также , з</w:t>
            </w:r>
            <w:r w:rsidR="00923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отчетный период проведена 41 консультация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НКО по вопросу обращения на комиссию по поддержке социально </w:t>
            </w:r>
            <w:r w:rsidR="00FE2D99" w:rsidRPr="00350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ориентированных некоммерческих орган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изаций при Администрации города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образовательной поддержки субъектам малого и среднего предпринимательства, в том числе социальным предпринимателям посредством проведения образовательного курса «Основы ведения предпринимательской деятельности»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388" w:type="dxa"/>
          </w:tcPr>
          <w:p w:rsidR="00FE2D99" w:rsidRPr="00C41821" w:rsidRDefault="00923D5F" w:rsidP="00923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октября стартует образовательный курс «Основы ведения предпринимательской деятельности» в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E2D99" w:rsidRPr="00E83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2D99" w:rsidRPr="00E83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Сургуте на период до 2030 года»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информационной кампании по вопросу получения субъектами малого и среднего предпринимательства статуса «социальное предприятие»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мая ежегодно</w:t>
            </w:r>
          </w:p>
        </w:tc>
        <w:tc>
          <w:tcPr>
            <w:tcW w:w="5388" w:type="dxa"/>
            <w:vAlign w:val="center"/>
          </w:tcPr>
          <w:p w:rsidR="00FE2D99" w:rsidRPr="008357B8" w:rsidRDefault="00FE2D99" w:rsidP="00FE2D99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на постоянной основе информационной кампании по вопросу получения статуса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предприятие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Информационные материалы размещены на официальном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портале Администрации города, И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нвестиционном портале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города, на постоянной основе направляются хозяйствующим субъектам посредством рассылки электронных писем, публикуются в сообществе для предпринимателей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Инвестируй в Сургут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мессенджере </w:t>
            </w:r>
            <w:proofErr w:type="spellStart"/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Viber</w:t>
            </w:r>
            <w:proofErr w:type="spellEnd"/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ежедневном режиме осуществляется точечное телефонное консультирование организаций и индивидуальных предпринимателей, осуществляющих предоставление социальных услуг населению города, в целях повышения уровня заинтересованности в получении статуса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D7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предприятие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информационной кампании в средствах массовой информации, официальных аккаунтах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города в социальных сетях и на официальном портале по поддержке деятельности немуниципальных организаций в оказании услуг в социальной сфере, в том числе информирование населения о деятельности немуниципальных организаций (коммерческих, некоммерческих), индивидуальных предпринимателей. оказывающих населению услуги в социальной сфере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годы</w:t>
            </w:r>
          </w:p>
        </w:tc>
        <w:tc>
          <w:tcPr>
            <w:tcW w:w="5388" w:type="dxa"/>
          </w:tcPr>
          <w:p w:rsidR="00FE2D99" w:rsidRPr="00D704AF" w:rsidRDefault="009E6D25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отчетный период</w:t>
            </w:r>
            <w:r w:rsidR="00FE2D99"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года всего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размещено</w:t>
            </w:r>
            <w:r w:rsidR="00FE2D99"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  <w:r w:rsidR="00FE2D99"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материалов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 них</w:t>
            </w:r>
            <w:r w:rsidR="00FE2D99"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E2D99" w:rsidRPr="00D704AF" w:rsidRDefault="009E6D25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СМИ – 3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FE2D99"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на официальном портале Администрации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E2D99" w:rsidRPr="00D704AF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разделе </w:t>
            </w:r>
            <w:r w:rsidR="009E6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«Новости предпринимательства - 166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социальных сетях – </w:t>
            </w:r>
            <w:r w:rsidR="009E6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2.6.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семинаров для организаторов добровольческой деятельности и руководителей молодежных общественных объединений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добровольчества (</w:t>
            </w:r>
            <w:proofErr w:type="spellStart"/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волонтерства</w:t>
            </w:r>
            <w:proofErr w:type="spellEnd"/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):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FA5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семинаров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организаторов добровольческой деятельности и руководителей молодежных общественных объединений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консультаций для организаторов добровольческой деятельности и руководителей молодежных общественных объединений по подготовке проектов к конкурсам на получение грантов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добровольчества (</w:t>
            </w:r>
            <w:proofErr w:type="spellStart"/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волонтерства</w:t>
            </w:r>
            <w:proofErr w:type="spellEnd"/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)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консультации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 добровольческой деятельности и руководителей молодежных общественных объединений по подготовке проектов к конкурсам на получение грантов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для представителей молодежных общественных объединений по вопросам реализации проектов и мероприятий на территории города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 сфере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молодежной политики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  <w:r w:rsidR="00857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индивидуальных консультаций</w:t>
            </w:r>
            <w:r w:rsidRPr="00D70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представителей молодежных общественных объединений по вопросам реализации проектов и мероприятий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методической, консультационной и информационной поддержки немуниципальным </w:t>
            </w: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организациям, индивидуальным предпринимателям, в том числе социально-ориентированным некоммерческим организациям, оказывающим населению услуги в сфере физической культуры и спорта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5388" w:type="dxa"/>
            <w:vAlign w:val="center"/>
          </w:tcPr>
          <w:p w:rsidR="00E62F62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</w:t>
            </w: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сфере физической культуры и спорта:</w:t>
            </w: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62F62" w:rsidRDefault="00E62F62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D4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роведено </w:t>
            </w:r>
            <w:r w:rsidRPr="0047489D">
              <w:rPr>
                <w:rFonts w:ascii="Times New Roman" w:hAnsi="Times New Roman"/>
                <w:sz w:val="28"/>
                <w:szCs w:val="28"/>
                <w:lang w:eastAsia="ru-RU"/>
              </w:rPr>
              <w:t>более 50 консультаций</w:t>
            </w:r>
            <w:r w:rsidRPr="00BD41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опросам предоставления субсидий, также </w:t>
            </w:r>
          </w:p>
          <w:p w:rsidR="00FE2D99" w:rsidRPr="009A6F7A" w:rsidRDefault="00FE2D99" w:rsidP="00E62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</w:t>
            </w: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рганизационно-методическая, консультационная и информационная поддержка немуниципальным организациям, в том числе социально ориентированным некоммерческим организациям, индивидуальным предпринимателям, оказывающим населению услуги в сфере физической культуры и спорта</w:t>
            </w:r>
            <w:r w:rsidR="0024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оказывается в рабочем порядке</w:t>
            </w:r>
          </w:p>
        </w:tc>
      </w:tr>
      <w:tr w:rsidR="00FE2D99" w:rsidTr="00FE2D9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2.10.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Актуализация информации, посвященной деятельности немуниципальных поставщиков услуг в сфере физической культуры и спорта на официальном сайте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388" w:type="dxa"/>
            <w:vAlign w:val="center"/>
          </w:tcPr>
          <w:p w:rsidR="00FE2D99" w:rsidRPr="00745F67" w:rsidRDefault="00FE2D99" w:rsidP="00FE2D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 сфере физической культуры и спорта</w:t>
            </w:r>
            <w:r w:rsidRPr="00745F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45F67" w:rsidRDefault="00FE2D99" w:rsidP="00745F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5F67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деятельности немуниципальных поставщиков услуг в сфере физической культуры и спорта актуализируется на постоянной основе</w:t>
            </w:r>
            <w:r w:rsidR="00745F6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45F67" w:rsidRDefault="00745F67" w:rsidP="00745F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апреле 2021 года на официальном портале </w:t>
            </w:r>
            <w:r w:rsidR="00E62F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города размещена информация о лучших практиках в сфере физической культуры и спорта.</w:t>
            </w:r>
          </w:p>
          <w:p w:rsidR="00FE2D99" w:rsidRPr="00745F67" w:rsidRDefault="00745F67" w:rsidP="00745F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Ссылка:</w:t>
            </w:r>
            <w:hyperlink r:id="rId7" w:history="1">
              <w:r w:rsidRPr="00745F67">
                <w:rPr>
                  <w:rFonts w:ascii="Times New Roman" w:hAnsi="Times New Roman"/>
                  <w:sz w:val="28"/>
                  <w:szCs w:val="28"/>
                  <w:lang w:eastAsia="ru-RU"/>
                </w:rPr>
                <w:t>http://admsurgut.ru/rubric/24225/Luchshie-praktiki-privlecheniya-nemunicipalnyh-organizaciy-k-predostavleniyu-uslug-za-2019-2020</w:t>
              </w:r>
            </w:hyperlink>
          </w:p>
        </w:tc>
      </w:tr>
      <w:tr w:rsidR="00FE2D99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Вовлечение немуниципальных организаций, в том числе индивидуальных предпринимателей, оказывающих услуги в социальной сфере, в городские мероприятия</w:t>
            </w:r>
          </w:p>
        </w:tc>
      </w:tr>
      <w:tr w:rsidR="00FE2D99" w:rsidTr="00361AF8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конкурса на предоставление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CB080A" w:rsidRDefault="00FE2D99" w:rsidP="00E62F6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Порядок проведения конкурса утвержден постановлением Администрации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</w:t>
            </w:r>
            <w:r w:rsidRPr="007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гражданского единства, гармонизацию межнациональных и межконфессиональных отношений, профилактику экстремизма». </w:t>
            </w:r>
            <w:r w:rsidRPr="00B5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управление массовых коммуникаций Администрации города Сургута. Заседание конкурсной комиссии по подведению ит</w:t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 состоялось. До конца года планируется издание постановления</w:t>
            </w:r>
            <w:r w:rsidRPr="00B55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города о предоставлении грантов в форме субсидий, а также заключены соглашения с получа</w:t>
            </w:r>
            <w:r w:rsidR="00244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телями грантов в форме субсидий</w:t>
            </w:r>
          </w:p>
        </w:tc>
      </w:tr>
      <w:tr w:rsidR="00FE2D99" w:rsidTr="00D53D94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выставки организаций, реализующих программы дополнительного образования, культурно-просветительские и образовательные проекты «Сургут – детям»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октября ежегодно</w:t>
            </w:r>
          </w:p>
        </w:tc>
        <w:tc>
          <w:tcPr>
            <w:tcW w:w="5388" w:type="dxa"/>
          </w:tcPr>
          <w:p w:rsidR="00FE2D99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 сфере образования: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14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637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ыставка-ярмарка организаций, реализующих программы дополнительного образования, образовательные и культурно-просветите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льские проекты «Сургут – детям».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выставке-ярмарке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приняли участие 47 организаций: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учреждений, подведомст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венных департаменту образования;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учреждений, подведомственных комитету 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учреждений, подведомственных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физической культуры и спорта;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учреждения, подведомственных отделу молодежной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политики Администрации города;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учреждение высшего образования «</w:t>
            </w:r>
            <w:proofErr w:type="spellStart"/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государственный университет»;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бюджетное профессиональное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Сургутский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музыкальный колледж»;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D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 негосударственны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(немуниципальных) организаций</w:t>
            </w:r>
          </w:p>
        </w:tc>
      </w:tr>
      <w:tr w:rsidR="00FE2D99" w:rsidTr="00AD19BB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летнего отдыха детей в парках, скверах и спортивных сооружениях города с привлечением немуниципальных организаций, индивидуальных предпринимателей, оказывающих социальные услуги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38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мероприятии носит заявительный характер. За 9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яцев</w:t>
            </w:r>
            <w:r w:rsidR="00D3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 года заявки</w:t>
            </w:r>
            <w:r w:rsidRPr="00E55C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участие в мероприятии от организаций частной формы с</w:t>
            </w:r>
            <w:r w:rsidR="00D3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обственности не поступали</w:t>
            </w:r>
          </w:p>
        </w:tc>
      </w:tr>
      <w:tr w:rsidR="00FE2D99" w:rsidTr="00FE2D99">
        <w:tc>
          <w:tcPr>
            <w:tcW w:w="14560" w:type="dxa"/>
            <w:gridSpan w:val="4"/>
            <w:shd w:val="clear" w:color="auto" w:fill="FFF2CC" w:themeFill="accent4" w:themeFillTint="33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Реализация механизмов поддержки немуниципальных организаций (коммерческих, некоммерческих), индивидуальных предпринимателей, оказывающих услуги в социальной сфере</w:t>
            </w:r>
          </w:p>
        </w:tc>
      </w:tr>
      <w:tr w:rsidR="00FE2D99" w:rsidTr="0005390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немуниципальным организациям в рамках поддержки доступа негосударственных организаций (коммерческих, некоммерческих), индивидуальным предпринимателям,  к предоставлению услуг в социальной сфере на территории города Сургута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F21410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В сфере образования </w:t>
            </w:r>
            <w:r w:rsidRPr="00F2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предоставлены субсидии </w:t>
            </w:r>
            <w:r w:rsidR="002447D7" w:rsidRPr="00244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244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7D7">
              <w:rPr>
                <w:rFonts w:ascii="Times New Roman" w:hAnsi="Times New Roman" w:cs="Times New Roman"/>
                <w:sz w:val="28"/>
                <w:szCs w:val="28"/>
              </w:rPr>
              <w:t>негосударственным (немуниципальным) организациям (в том числе 3 СОНКО)</w:t>
            </w:r>
            <w:r w:rsidRPr="0091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общую сумму 192,</w:t>
            </w:r>
            <w:r w:rsidRPr="009126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млн.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2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65,1</w:t>
            </w:r>
            <w:r w:rsidRPr="00F2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от годового плана (план – 295,6 млн. руб.)</w:t>
            </w:r>
          </w:p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2D99" w:rsidTr="00781F51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финансовой поддержки субъектам малого и среднего предпринимательства, имеющим статус «социальное предприятие»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 (в объявленные сроки приема заявлений)</w:t>
            </w:r>
          </w:p>
        </w:tc>
        <w:tc>
          <w:tcPr>
            <w:tcW w:w="5388" w:type="dxa"/>
            <w:vAlign w:val="center"/>
          </w:tcPr>
          <w:p w:rsidR="00FE2D99" w:rsidRDefault="00480795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 «Развитие малого и среднего предпринимательства в городе Сургуте на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иод до 2030 года» на 2021 год запланировано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предоставление финансовой поддержки субъектам малого и среднего предпринимательства, в том числе социальным предпринимателям, 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объеме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28,7 млн. рублей.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субъектов малого и среднего предпринимательства, 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 статус "социальное предприятие"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поступило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47 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заявок, п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результатам рассмотрения которых субсидии в сумме 5,9 млн. рублей 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направлены</w:t>
            </w:r>
            <w:r w:rsidR="00FE2D99" w:rsidRPr="00BA2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 социальным предпринимателям</w:t>
            </w:r>
            <w:r w:rsidR="00FE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E2D99" w:rsidRPr="002E6735" w:rsidRDefault="00FE2D99" w:rsidP="002E44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 </w:t>
            </w:r>
            <w:r w:rsidR="00534DB8" w:rsidRPr="0053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субъектов малого и среднего предпринимательства, имеющих статус «</w:t>
            </w:r>
            <w:r w:rsidRPr="0053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предпринимателей</w:t>
            </w:r>
            <w:r w:rsidR="00534D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поступило 65 заявок, срок рассмотрения которых завершается в ноябре 2021 года. Социальные предприниматели могут компенсировать затраты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</w:t>
            </w:r>
            <w:r w:rsidRPr="002E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бретению оборудования;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 предоставление консалтинговых услуг;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2E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курсы повы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шения квалификации сотрудников;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r w:rsidRPr="002E6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аренду нежилых помещений и </w:t>
            </w:r>
            <w:r w:rsidR="00427BE3" w:rsidRPr="00427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направления</w:t>
            </w:r>
            <w:r w:rsidR="002E4435" w:rsidRPr="00427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установленные</w:t>
            </w:r>
            <w:r w:rsidR="002E4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муниципальной программе</w:t>
            </w:r>
          </w:p>
        </w:tc>
      </w:tr>
      <w:tr w:rsidR="00FE2D99" w:rsidTr="000956B9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536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грантов в форме субсидий некоммерческим  организациям в целях поддержки общественно значимых инициатив, направленных на межнациональное и межконфессиональное согласие,  профилактику экстремизма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FE2D99" w:rsidRPr="007D45A8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</w:t>
            </w:r>
            <w:r w:rsidRPr="00F21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50E65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Укрепление межнационального и межконфессионального согласия, поддержка и развитие языков и культуры народов Российской Федерации, проживающих на 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</w:t>
            </w:r>
            <w:r w:rsidRPr="00F50E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предусмотрено предоставление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грантов в форме субсидии для поддержки общественно-значимых инициатив в сфере межнационального и межконфессионального согласия, профилактики экстремизма. </w:t>
            </w:r>
          </w:p>
          <w:p w:rsidR="00FE2D99" w:rsidRPr="00F50E65" w:rsidRDefault="00FE2D99" w:rsidP="00FE2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ыделен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грантов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общем </w:t>
            </w:r>
            <w:r w:rsidRPr="00F5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объеме </w:t>
            </w:r>
            <w:r w:rsidR="00F302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1 024 992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0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из них</w:t>
            </w:r>
            <w:r w:rsidR="00014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E2D99" w:rsidRPr="007D45A8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 </w:t>
            </w:r>
            <w:r w:rsidR="000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«Общегородской праздник «Сабантуй» местной общественной организации «Национально-культурная автономи</w:t>
            </w:r>
            <w:r w:rsidR="00F3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татар города Сургута» - 250 000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FE2D99" w:rsidRPr="007D45A8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«Организация участия национально-этнических объединений в фестивале национальных культур «Соцветие» региональной общественной организации Ханты-Мансийского автономного округа – Югры «Чувашский Национально-Культурный Це</w:t>
            </w:r>
            <w:r w:rsidR="00F3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нтр «</w:t>
            </w:r>
            <w:proofErr w:type="spellStart"/>
            <w:r w:rsidR="00F3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Туслах</w:t>
            </w:r>
            <w:proofErr w:type="spellEnd"/>
            <w:r w:rsidR="00F3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(«Дружба») - 349 992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FE2D99" w:rsidRPr="007D45A8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Вардавар</w:t>
            </w:r>
            <w:proofErr w:type="spellEnd"/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армянский праздник в честь Преображения Господня» региональной общественной организации Ханты-Мансийского автономного округа – Югры «Ассоциация национальной спортивной борьбы народов Севера, Сибири и Дальнего Востока» </w:t>
            </w:r>
            <w:r w:rsidR="00F302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- 245 000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7D4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«Фольклор как средство общения» региональной общественной организации Ханты-Мансийского автономного округа – Югры «Общество русской куль</w:t>
            </w:r>
            <w:r w:rsidR="000146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туры» - 180 000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FE2D99" w:rsidTr="00037D43">
        <w:tc>
          <w:tcPr>
            <w:tcW w:w="776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368" w:type="dxa"/>
            <w:vAlign w:val="center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в форме субсидий профессиональным образовательным организациям и образовательным организациям высшего образования, являющимся некоммерческими организациями, по результатам проведения конкурса на лучший молодёжный проект по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профилактике экстремизма в студенческой среде, адаптации мигрантов из числа студенческой молодёжи.</w:t>
            </w:r>
          </w:p>
        </w:tc>
        <w:tc>
          <w:tcPr>
            <w:tcW w:w="3028" w:type="dxa"/>
            <w:vAlign w:val="center"/>
          </w:tcPr>
          <w:p w:rsidR="00FE2D99" w:rsidRPr="00CB080A" w:rsidRDefault="00FE2D99" w:rsidP="00FE2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388" w:type="dxa"/>
          </w:tcPr>
          <w:p w:rsidR="00FE2D99" w:rsidRPr="00CB080A" w:rsidRDefault="00FE2D99" w:rsidP="00FE2D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запланировано на </w:t>
            </w:r>
            <w:r w:rsidRPr="007E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IV квартал 2021</w:t>
            </w:r>
          </w:p>
        </w:tc>
      </w:tr>
      <w:tr w:rsidR="0004039D" w:rsidTr="0013434F">
        <w:tc>
          <w:tcPr>
            <w:tcW w:w="776" w:type="dxa"/>
            <w:vAlign w:val="center"/>
          </w:tcPr>
          <w:p w:rsidR="0004039D" w:rsidRPr="00CB080A" w:rsidRDefault="0004039D" w:rsidP="00040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368" w:type="dxa"/>
            <w:vAlign w:val="center"/>
          </w:tcPr>
          <w:p w:rsidR="0004039D" w:rsidRPr="00CB080A" w:rsidRDefault="0004039D" w:rsidP="00040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грантов в форме субсидии некоммерческим организациям в целях поддержки общественно значимых инициатив </w:t>
            </w:r>
          </w:p>
        </w:tc>
        <w:tc>
          <w:tcPr>
            <w:tcW w:w="3028" w:type="dxa"/>
            <w:vAlign w:val="center"/>
          </w:tcPr>
          <w:p w:rsidR="0004039D" w:rsidRPr="00CB080A" w:rsidRDefault="0004039D" w:rsidP="00040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</w:tcPr>
          <w:p w:rsidR="0004039D" w:rsidRPr="00CB080A" w:rsidRDefault="0004039D" w:rsidP="00040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грантов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запланировано </w:t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E62F62" w:rsidRPr="007E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 квартал</w:t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E62F62" w:rsidRPr="007E7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</w:t>
            </w:r>
          </w:p>
        </w:tc>
      </w:tr>
      <w:tr w:rsidR="0004039D" w:rsidTr="000C26C9">
        <w:tc>
          <w:tcPr>
            <w:tcW w:w="776" w:type="dxa"/>
            <w:vAlign w:val="center"/>
          </w:tcPr>
          <w:p w:rsidR="0004039D" w:rsidRPr="00CB080A" w:rsidRDefault="0004039D" w:rsidP="00040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5368" w:type="dxa"/>
            <w:vAlign w:val="center"/>
          </w:tcPr>
          <w:p w:rsidR="0004039D" w:rsidRPr="00CB080A" w:rsidRDefault="0004039D" w:rsidP="00040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в аренду муниципального имущества с применением коэффициентов, понижающих арендную плату, либо безвозмездно социально ориентированным некоммерческим организациям, индивидуальным предпринимателям, оказывающим услуги по присмотру и уходу за детьми</w:t>
            </w:r>
          </w:p>
        </w:tc>
        <w:tc>
          <w:tcPr>
            <w:tcW w:w="3028" w:type="dxa"/>
            <w:vAlign w:val="center"/>
          </w:tcPr>
          <w:p w:rsidR="0004039D" w:rsidRPr="00CB080A" w:rsidRDefault="0004039D" w:rsidP="00040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04039D" w:rsidRDefault="0004039D" w:rsidP="0004039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59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Имущественная поддержка в форме предоставления в безвозмездное пользование помещений общей площадью 2 179 </w:t>
            </w:r>
            <w:proofErr w:type="spellStart"/>
            <w:r w:rsidRPr="002E59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2E59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оказана</w:t>
            </w:r>
            <w:r w:rsidR="00244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E59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 субъектам малого и среднего предпринимательства, оказывающи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2E59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услуги по присмотру и уходу за детьми</w:t>
            </w:r>
          </w:p>
          <w:p w:rsidR="0004039D" w:rsidRPr="00CB080A" w:rsidRDefault="0004039D" w:rsidP="0004039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4CA9" w:rsidTr="00BB6C6F">
        <w:tc>
          <w:tcPr>
            <w:tcW w:w="776" w:type="dxa"/>
          </w:tcPr>
          <w:p w:rsidR="00914CA9" w:rsidRDefault="00914CA9" w:rsidP="00914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914CA9" w:rsidRPr="00CB080A" w:rsidRDefault="00914CA9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в безвозмездное пользование муниципального имущества социально ориентированным некоммерческим организациям </w:t>
            </w:r>
          </w:p>
        </w:tc>
        <w:tc>
          <w:tcPr>
            <w:tcW w:w="3028" w:type="dxa"/>
            <w:vAlign w:val="center"/>
          </w:tcPr>
          <w:p w:rsidR="00914CA9" w:rsidRPr="00CB080A" w:rsidRDefault="00914CA9" w:rsidP="00914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2021-2025 годы</w:t>
            </w:r>
          </w:p>
        </w:tc>
        <w:tc>
          <w:tcPr>
            <w:tcW w:w="5388" w:type="dxa"/>
            <w:vAlign w:val="center"/>
          </w:tcPr>
          <w:p w:rsidR="00914CA9" w:rsidRPr="00610200" w:rsidRDefault="00914CA9" w:rsidP="005A56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в безвозмездное пользование социально ориентированным некоммерческим организациям</w:t>
            </w:r>
            <w:r w:rsidR="0039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46 помещений общей площадью 6557</w:t>
            </w: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помещение</w:t>
            </w:r>
            <w:r w:rsidRPr="00E2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59,8 </w:t>
            </w:r>
            <w:proofErr w:type="spellStart"/>
            <w:r w:rsidRPr="00E2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E2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передано в аренду некоммерческо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организации, </w:t>
            </w:r>
            <w:r w:rsidR="00E62F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 </w:t>
            </w:r>
            <w:r w:rsidRPr="005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помещение площадью 162,1 </w:t>
            </w:r>
            <w:proofErr w:type="spellStart"/>
            <w:r w:rsidRPr="005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5A5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102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передано некоммерческой организации, реализующей дополнительные общеобразовательные программы</w:t>
            </w:r>
          </w:p>
        </w:tc>
      </w:tr>
      <w:tr w:rsidR="00914CA9" w:rsidTr="00BD5013">
        <w:tc>
          <w:tcPr>
            <w:tcW w:w="776" w:type="dxa"/>
          </w:tcPr>
          <w:p w:rsidR="00914CA9" w:rsidRDefault="00914CA9" w:rsidP="00914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8" w:type="dxa"/>
          </w:tcPr>
          <w:p w:rsidR="00914CA9" w:rsidRPr="00CB080A" w:rsidRDefault="00914CA9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в аренду муниципального имущества с применением коэффициентов, понижающих арендную плату, социально ориентированным некоммерческим 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организациям, индивидуальным предпринимателям, оказывающим услуги в социальной сфере</w:t>
            </w:r>
          </w:p>
        </w:tc>
        <w:tc>
          <w:tcPr>
            <w:tcW w:w="3028" w:type="dxa"/>
            <w:vAlign w:val="center"/>
          </w:tcPr>
          <w:p w:rsidR="00914CA9" w:rsidRPr="00CB080A" w:rsidRDefault="00914CA9" w:rsidP="00914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2021-2025 годы</w:t>
            </w:r>
          </w:p>
        </w:tc>
        <w:tc>
          <w:tcPr>
            <w:tcW w:w="5388" w:type="dxa"/>
            <w:vAlign w:val="center"/>
          </w:tcPr>
          <w:p w:rsidR="00914CA9" w:rsidRPr="00AF00CB" w:rsidRDefault="00914CA9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некоммерческих организаций, а также социальных предпринимателей при расчете арендной платы предусмотрен понижающий коэффициент 0,3, позволяющий снизить арендную плату на 70%. </w:t>
            </w:r>
          </w:p>
          <w:p w:rsidR="00914CA9" w:rsidRPr="00CB080A" w:rsidRDefault="00914CA9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Pr="00CB08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ереданы</w:t>
            </w:r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аренду социально ориентированным некоммерческим организациям </w:t>
            </w:r>
            <w:r w:rsidR="00393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помещений общей площадью </w:t>
            </w:r>
            <w:r w:rsidR="00393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20 125</w:t>
            </w:r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AF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помещений общей площадью 460,1 кв.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м., социальным предприятиям</w:t>
            </w:r>
          </w:p>
        </w:tc>
      </w:tr>
      <w:tr w:rsidR="00914CA9" w:rsidTr="001321DA">
        <w:tc>
          <w:tcPr>
            <w:tcW w:w="776" w:type="dxa"/>
            <w:vAlign w:val="center"/>
          </w:tcPr>
          <w:p w:rsidR="00914CA9" w:rsidRPr="00CB080A" w:rsidRDefault="00914CA9" w:rsidP="00914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5368" w:type="dxa"/>
            <w:vAlign w:val="center"/>
          </w:tcPr>
          <w:p w:rsidR="00914CA9" w:rsidRPr="00CB080A" w:rsidRDefault="00914CA9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немуниципальным организациям в рамках поддержки доступа немуниципальных организаций к предоставлению услуг населению в сфере физической культуры и спорта на территории города</w:t>
            </w:r>
          </w:p>
        </w:tc>
        <w:tc>
          <w:tcPr>
            <w:tcW w:w="3028" w:type="dxa"/>
            <w:vAlign w:val="center"/>
          </w:tcPr>
          <w:p w:rsidR="00914CA9" w:rsidRPr="00CB080A" w:rsidRDefault="00914CA9" w:rsidP="00914C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5388" w:type="dxa"/>
          </w:tcPr>
          <w:p w:rsidR="00914CA9" w:rsidRPr="00AF00CB" w:rsidRDefault="00393225" w:rsidP="00914CA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состоянию на 01.10.2021 утвержден перечень получателей субсидий</w:t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14CA9" w:rsidRPr="008D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организаций;</w:t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-1 коммерческая организация;</w:t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="00914CA9" w:rsidRPr="008D2E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социально ориентированных некоммерческих организаций.</w:t>
            </w:r>
            <w:r w:rsidR="00914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Общий объем субсидий составляет 2 076,5 тыс. руб</w:t>
            </w:r>
            <w:r w:rsidR="00E6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3C6A23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914CA9" w:rsidRDefault="00914CA9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A57338" w:rsidRDefault="00A57338" w:rsidP="003C6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55EE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Исполнение целевых показателей плана мероприятий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</w:t>
      </w:r>
      <w:r w:rsidRPr="00355EE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дорожной карты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»</w:t>
      </w:r>
      <w:r w:rsidRPr="00355EE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) по поддержке доступа немуниципальных организаций (коммерческих, некоммерческих), индивидуальных предпринимателей </w:t>
      </w: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355EE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к предоставлению услуг в социальной сфере в городе Сургуте на 2021 - 2025 годы </w:t>
      </w:r>
    </w:p>
    <w:p w:rsidR="003C6A23" w:rsidRDefault="00E422E0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по состоянию на 01.10</w:t>
      </w:r>
      <w:r w:rsidR="003C6A23" w:rsidRPr="00355EE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.2021</w:t>
      </w: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C6A23" w:rsidRDefault="003C6A23" w:rsidP="003C6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tbl>
      <w:tblPr>
        <w:tblStyle w:val="a3"/>
        <w:tblW w:w="15037" w:type="dxa"/>
        <w:tblLook w:val="04A0" w:firstRow="1" w:lastRow="0" w:firstColumn="1" w:lastColumn="0" w:noHBand="0" w:noVBand="1"/>
      </w:tblPr>
      <w:tblGrid>
        <w:gridCol w:w="1413"/>
        <w:gridCol w:w="6520"/>
        <w:gridCol w:w="1559"/>
        <w:gridCol w:w="1559"/>
        <w:gridCol w:w="1559"/>
        <w:gridCol w:w="2427"/>
      </w:tblGrid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520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3C6A23" w:rsidRPr="00355EE8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422E0">
              <w:rPr>
                <w:rFonts w:ascii="Times New Roman" w:hAnsi="Times New Roman" w:cs="Times New Roman"/>
                <w:sz w:val="20"/>
                <w:szCs w:val="20"/>
              </w:rPr>
              <w:t>на 01.10</w:t>
            </w: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Доля немуниципальных организаций (коммерческих, некоммерческих), реализующих дополнительные общеобразовательные программы, получивших поддержку из средств регионального и муниципальных бюджетов (в форме возмещения затрат поставщиков 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и поставщиками образовательных услуг), в общей численности организаций, реализующих дополнительные общеобразовательные программы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Доля численности детей, посещающих частные организации, осуществляющие образовательную деятельность по реализации образовательных программ дошкольного образования, в общей численности детей, посещающих дошкольные образовательные организации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</w:pPr>
            <w:r w:rsidRPr="00D76F7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Доля средств бюджета города, выделяемых негосударственным организациям, в том числе социально ориентированным некоммерческим организациям, индивидуальным предпринимателям на предоставление услуг (работ) в сфере культуры и туризма, в общем объеме средств бюджета города, выделяемых на предоставление услуг в социальной сфере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</w:pPr>
            <w:r w:rsidRPr="00D76F7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3,92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8">
              <w:rPr>
                <w:rFonts w:ascii="Times New Roman" w:hAnsi="Times New Roman" w:cs="Times New Roman"/>
                <w:sz w:val="20"/>
                <w:szCs w:val="20"/>
              </w:rPr>
              <w:t>показатель рассчитывается по итогам года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комитет культуры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Доля немуниципальных, в том числе некоммерческих организаций, индивидуальных предпринимателей, осуществляющих деятельность в сфере культуры, предоставляющих социальные услуги, в общем числе организаций, предоставляющих социальные услуги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28">
              <w:rPr>
                <w:rFonts w:ascii="Times New Roman" w:hAnsi="Times New Roman" w:cs="Times New Roman"/>
                <w:sz w:val="20"/>
                <w:szCs w:val="20"/>
              </w:rPr>
              <w:t>показатель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6128">
              <w:rPr>
                <w:rFonts w:ascii="Times New Roman" w:hAnsi="Times New Roman" w:cs="Times New Roman"/>
                <w:sz w:val="20"/>
                <w:szCs w:val="20"/>
              </w:rPr>
              <w:t>считывается по итогам года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комитет культуры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Количество информационных материалов по поддержке проектов, популяризирующих деятельность социально ориентированных некоммерческих организаций, индивидуальных предпринимателей, добровольчества, деятельность институтов гражданского общества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3C6A23" w:rsidRDefault="00702F51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управление массовых коммуникаций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определенного переданного </w:t>
            </w:r>
            <w:proofErr w:type="spellStart"/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госполномочия</w:t>
            </w:r>
            <w:proofErr w:type="spellEnd"/>
            <w:r w:rsidRPr="004E0F4A"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исключительно социально ориентированными некоммерческими организациями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управление по опеке и попечительству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3C6A23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Доля немуниципальных, в том числе некоммерческих, организаций, предоставляющих услуги в сфере физической культуры и спорта, в общем числе организаций, предоставляющих услуги в сфере физической культуры и спорта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559" w:type="dxa"/>
          </w:tcPr>
          <w:p w:rsidR="003C6A23" w:rsidRDefault="00A57338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68B">
              <w:rPr>
                <w:rFonts w:ascii="Times New Roman" w:hAnsi="Times New Roman" w:cs="Times New Roman"/>
                <w:sz w:val="20"/>
                <w:szCs w:val="20"/>
              </w:rPr>
              <w:t>управление физической культуры и спорта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3C6A23" w:rsidRPr="004E0F4A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 xml:space="preserve">Доля субъектов малого и среднего предпринимательства, имеющих статус социального предприятия от общего количества субъектов малого </w:t>
            </w:r>
            <w:r w:rsidRPr="004E0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среднего предпринимательства, зарегистрированных на территории города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3C6A23" w:rsidRDefault="009A0C42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инвестиций, развития </w:t>
            </w:r>
            <w:r w:rsidRPr="004E0F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предпринимательства и туризма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520" w:type="dxa"/>
          </w:tcPr>
          <w:p w:rsidR="003C6A23" w:rsidRPr="004E0F4A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Средний размер льготы социально ориентированным некоммерческим организациям при предоставлении недвижимого имущества в аренду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E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</w:tr>
      <w:tr w:rsidR="003C6A23" w:rsidTr="0094535B">
        <w:tc>
          <w:tcPr>
            <w:tcW w:w="1413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:rsidR="003C6A23" w:rsidRPr="004E0F4A" w:rsidRDefault="003C6A23" w:rsidP="00945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Количество волонтерских объединений, действующих на территории города Сургута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59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3C6A23" w:rsidRDefault="00F57FE6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27" w:type="dxa"/>
          </w:tcPr>
          <w:p w:rsidR="003C6A23" w:rsidRDefault="003C6A23" w:rsidP="00945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F4A">
              <w:rPr>
                <w:rFonts w:ascii="Times New Roman" w:hAnsi="Times New Roman" w:cs="Times New Roman"/>
                <w:sz w:val="20"/>
                <w:szCs w:val="20"/>
              </w:rPr>
              <w:t>отдел молодёжной политики</w:t>
            </w:r>
          </w:p>
        </w:tc>
      </w:tr>
    </w:tbl>
    <w:p w:rsidR="003C6A23" w:rsidRDefault="003C6A23" w:rsidP="003C6A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52E6" w:rsidRDefault="008752E6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Default="003C6A23" w:rsidP="003C6A2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C6A23" w:rsidRPr="00F253D2" w:rsidRDefault="003C6A23" w:rsidP="003C6A2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253D2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Pr="00F253D2">
        <w:rPr>
          <w:rFonts w:ascii="Times New Roman" w:hAnsi="Times New Roman" w:cs="Times New Roman"/>
          <w:sz w:val="20"/>
          <w:szCs w:val="20"/>
        </w:rPr>
        <w:br/>
        <w:t xml:space="preserve">Емельянова Александра Игоревна, </w:t>
      </w:r>
      <w:r w:rsidRPr="00F253D2">
        <w:rPr>
          <w:rFonts w:ascii="Times New Roman" w:hAnsi="Times New Roman" w:cs="Times New Roman"/>
          <w:sz w:val="20"/>
          <w:szCs w:val="20"/>
        </w:rPr>
        <w:br/>
        <w:t xml:space="preserve">специалист 1 категории </w:t>
      </w:r>
      <w:r w:rsidRPr="00F253D2">
        <w:rPr>
          <w:rFonts w:ascii="Times New Roman" w:hAnsi="Times New Roman" w:cs="Times New Roman"/>
          <w:sz w:val="18"/>
          <w:szCs w:val="18"/>
        </w:rPr>
        <w:t xml:space="preserve">отдела </w:t>
      </w:r>
    </w:p>
    <w:p w:rsidR="003C6A23" w:rsidRPr="00F253D2" w:rsidRDefault="003C6A23" w:rsidP="003C6A23">
      <w:pPr>
        <w:spacing w:after="0"/>
        <w:ind w:hanging="142"/>
        <w:rPr>
          <w:rFonts w:ascii="Times New Roman" w:hAnsi="Times New Roman" w:cs="Times New Roman"/>
          <w:sz w:val="18"/>
          <w:szCs w:val="18"/>
        </w:rPr>
      </w:pPr>
      <w:r w:rsidRPr="00F253D2">
        <w:rPr>
          <w:rFonts w:ascii="Times New Roman" w:hAnsi="Times New Roman" w:cs="Times New Roman"/>
          <w:sz w:val="18"/>
          <w:szCs w:val="18"/>
        </w:rPr>
        <w:t xml:space="preserve">   социально-экономического прогнозирования,</w:t>
      </w:r>
    </w:p>
    <w:p w:rsidR="003C6A23" w:rsidRPr="00604FD9" w:rsidRDefault="003C6A23" w:rsidP="003C6A23">
      <w:pPr>
        <w:spacing w:after="0"/>
        <w:rPr>
          <w:sz w:val="20"/>
          <w:szCs w:val="20"/>
        </w:rPr>
      </w:pPr>
      <w:r w:rsidRPr="00F253D2">
        <w:rPr>
          <w:rFonts w:ascii="Times New Roman" w:hAnsi="Times New Roman" w:cs="Times New Roman"/>
          <w:sz w:val="20"/>
          <w:szCs w:val="20"/>
        </w:rPr>
        <w:t>(3462) 52-20-38</w:t>
      </w:r>
    </w:p>
    <w:p w:rsidR="002E5994" w:rsidRPr="003C6A23" w:rsidRDefault="002E5994" w:rsidP="003C6A23"/>
    <w:sectPr w:rsidR="002E5994" w:rsidRPr="003C6A23" w:rsidSect="008752E6">
      <w:footerReference w:type="default" r:id="rId8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56" w:rsidRDefault="00576E56" w:rsidP="008752E6">
      <w:pPr>
        <w:spacing w:after="0" w:line="240" w:lineRule="auto"/>
      </w:pPr>
      <w:r>
        <w:separator/>
      </w:r>
    </w:p>
  </w:endnote>
  <w:endnote w:type="continuationSeparator" w:id="0">
    <w:p w:rsidR="00576E56" w:rsidRDefault="00576E56" w:rsidP="0087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084808"/>
      <w:docPartObj>
        <w:docPartGallery w:val="Page Numbers (Bottom of Page)"/>
        <w:docPartUnique/>
      </w:docPartObj>
    </w:sdtPr>
    <w:sdtEndPr/>
    <w:sdtContent>
      <w:p w:rsidR="008752E6" w:rsidRDefault="008752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FE3">
          <w:rPr>
            <w:noProof/>
          </w:rPr>
          <w:t>18</w:t>
        </w:r>
        <w:r>
          <w:fldChar w:fldCharType="end"/>
        </w:r>
      </w:p>
    </w:sdtContent>
  </w:sdt>
  <w:p w:rsidR="008752E6" w:rsidRDefault="008752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56" w:rsidRDefault="00576E56" w:rsidP="008752E6">
      <w:pPr>
        <w:spacing w:after="0" w:line="240" w:lineRule="auto"/>
      </w:pPr>
      <w:r>
        <w:separator/>
      </w:r>
    </w:p>
  </w:footnote>
  <w:footnote w:type="continuationSeparator" w:id="0">
    <w:p w:rsidR="00576E56" w:rsidRDefault="00576E56" w:rsidP="00875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13"/>
    <w:rsid w:val="000146B0"/>
    <w:rsid w:val="00017756"/>
    <w:rsid w:val="0004039D"/>
    <w:rsid w:val="00041DD7"/>
    <w:rsid w:val="00046938"/>
    <w:rsid w:val="000659E0"/>
    <w:rsid w:val="000829F3"/>
    <w:rsid w:val="000A663D"/>
    <w:rsid w:val="000D0FE3"/>
    <w:rsid w:val="001254D3"/>
    <w:rsid w:val="00136255"/>
    <w:rsid w:val="0016610C"/>
    <w:rsid w:val="001812B9"/>
    <w:rsid w:val="00192423"/>
    <w:rsid w:val="001E2A3E"/>
    <w:rsid w:val="00225FA2"/>
    <w:rsid w:val="00232343"/>
    <w:rsid w:val="002447D7"/>
    <w:rsid w:val="00247886"/>
    <w:rsid w:val="002542C7"/>
    <w:rsid w:val="00257362"/>
    <w:rsid w:val="00277ED5"/>
    <w:rsid w:val="002D3B3F"/>
    <w:rsid w:val="002E4435"/>
    <w:rsid w:val="002E5994"/>
    <w:rsid w:val="002E6735"/>
    <w:rsid w:val="002F5867"/>
    <w:rsid w:val="003053A7"/>
    <w:rsid w:val="00314FAA"/>
    <w:rsid w:val="00350D2B"/>
    <w:rsid w:val="003527A9"/>
    <w:rsid w:val="00355EE8"/>
    <w:rsid w:val="00373744"/>
    <w:rsid w:val="003778CA"/>
    <w:rsid w:val="00393225"/>
    <w:rsid w:val="003A18D8"/>
    <w:rsid w:val="003C6A23"/>
    <w:rsid w:val="003C7313"/>
    <w:rsid w:val="003D768C"/>
    <w:rsid w:val="003E5257"/>
    <w:rsid w:val="003F001B"/>
    <w:rsid w:val="0042653B"/>
    <w:rsid w:val="00427BE3"/>
    <w:rsid w:val="00451CD6"/>
    <w:rsid w:val="00472F24"/>
    <w:rsid w:val="0047489D"/>
    <w:rsid w:val="00480795"/>
    <w:rsid w:val="00485A42"/>
    <w:rsid w:val="00493581"/>
    <w:rsid w:val="004A24FD"/>
    <w:rsid w:val="004E0DD4"/>
    <w:rsid w:val="004E0F4A"/>
    <w:rsid w:val="004E2BAD"/>
    <w:rsid w:val="004F79A7"/>
    <w:rsid w:val="00501591"/>
    <w:rsid w:val="00522BE0"/>
    <w:rsid w:val="0052358F"/>
    <w:rsid w:val="00534DB8"/>
    <w:rsid w:val="00545C44"/>
    <w:rsid w:val="00564377"/>
    <w:rsid w:val="00576E56"/>
    <w:rsid w:val="005A4788"/>
    <w:rsid w:val="005A56BE"/>
    <w:rsid w:val="005D0BDB"/>
    <w:rsid w:val="005D3DD6"/>
    <w:rsid w:val="00606128"/>
    <w:rsid w:val="00610200"/>
    <w:rsid w:val="0061748D"/>
    <w:rsid w:val="006274E8"/>
    <w:rsid w:val="00655B42"/>
    <w:rsid w:val="006649F1"/>
    <w:rsid w:val="006E497D"/>
    <w:rsid w:val="00702F51"/>
    <w:rsid w:val="0071463D"/>
    <w:rsid w:val="00715999"/>
    <w:rsid w:val="007435A7"/>
    <w:rsid w:val="00745F67"/>
    <w:rsid w:val="007566F2"/>
    <w:rsid w:val="007637D2"/>
    <w:rsid w:val="007D45A8"/>
    <w:rsid w:val="007E528C"/>
    <w:rsid w:val="007E7655"/>
    <w:rsid w:val="00823740"/>
    <w:rsid w:val="008357B8"/>
    <w:rsid w:val="00845A0A"/>
    <w:rsid w:val="00857D4F"/>
    <w:rsid w:val="008752E6"/>
    <w:rsid w:val="00881029"/>
    <w:rsid w:val="0088468B"/>
    <w:rsid w:val="00893274"/>
    <w:rsid w:val="008D2E0E"/>
    <w:rsid w:val="008D3C5A"/>
    <w:rsid w:val="00910572"/>
    <w:rsid w:val="009126C1"/>
    <w:rsid w:val="00914CA9"/>
    <w:rsid w:val="00923D5F"/>
    <w:rsid w:val="00934F8D"/>
    <w:rsid w:val="009563D1"/>
    <w:rsid w:val="00963FC7"/>
    <w:rsid w:val="00976A88"/>
    <w:rsid w:val="00983797"/>
    <w:rsid w:val="00986332"/>
    <w:rsid w:val="00995F1D"/>
    <w:rsid w:val="009A0C42"/>
    <w:rsid w:val="009A6F7A"/>
    <w:rsid w:val="009D5DD9"/>
    <w:rsid w:val="009E6C64"/>
    <w:rsid w:val="009E6D25"/>
    <w:rsid w:val="00A04B63"/>
    <w:rsid w:val="00A14255"/>
    <w:rsid w:val="00A442AB"/>
    <w:rsid w:val="00A563B6"/>
    <w:rsid w:val="00A57338"/>
    <w:rsid w:val="00A62BA2"/>
    <w:rsid w:val="00A80381"/>
    <w:rsid w:val="00AD7D45"/>
    <w:rsid w:val="00AF00CB"/>
    <w:rsid w:val="00AF176C"/>
    <w:rsid w:val="00B1727F"/>
    <w:rsid w:val="00B55DBC"/>
    <w:rsid w:val="00B72FCB"/>
    <w:rsid w:val="00BA2235"/>
    <w:rsid w:val="00BC2A16"/>
    <w:rsid w:val="00BD41ED"/>
    <w:rsid w:val="00BD59F7"/>
    <w:rsid w:val="00C36159"/>
    <w:rsid w:val="00C41821"/>
    <w:rsid w:val="00C43378"/>
    <w:rsid w:val="00C52CB9"/>
    <w:rsid w:val="00CB080A"/>
    <w:rsid w:val="00CE5554"/>
    <w:rsid w:val="00D0623C"/>
    <w:rsid w:val="00D3045C"/>
    <w:rsid w:val="00D321F8"/>
    <w:rsid w:val="00D704AF"/>
    <w:rsid w:val="00D9198E"/>
    <w:rsid w:val="00D9606B"/>
    <w:rsid w:val="00D979D6"/>
    <w:rsid w:val="00DD181A"/>
    <w:rsid w:val="00DD4A0B"/>
    <w:rsid w:val="00E25CDB"/>
    <w:rsid w:val="00E422E0"/>
    <w:rsid w:val="00E55CB7"/>
    <w:rsid w:val="00E62F62"/>
    <w:rsid w:val="00E67584"/>
    <w:rsid w:val="00E76010"/>
    <w:rsid w:val="00E835CE"/>
    <w:rsid w:val="00E85A16"/>
    <w:rsid w:val="00EC3AE3"/>
    <w:rsid w:val="00F01884"/>
    <w:rsid w:val="00F21410"/>
    <w:rsid w:val="00F253D2"/>
    <w:rsid w:val="00F30278"/>
    <w:rsid w:val="00F30413"/>
    <w:rsid w:val="00F32559"/>
    <w:rsid w:val="00F50E65"/>
    <w:rsid w:val="00F57FE6"/>
    <w:rsid w:val="00F74255"/>
    <w:rsid w:val="00FA5CAB"/>
    <w:rsid w:val="00FB3473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7C3C"/>
  <w15:chartTrackingRefBased/>
  <w15:docId w15:val="{53005342-C090-469E-B7FE-CCB9DFCE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727F"/>
    <w:rPr>
      <w:color w:val="0563C1"/>
      <w:u w:val="single"/>
    </w:rPr>
  </w:style>
  <w:style w:type="character" w:styleId="a5">
    <w:name w:val="Emphasis"/>
    <w:basedOn w:val="a0"/>
    <w:uiPriority w:val="20"/>
    <w:qFormat/>
    <w:rsid w:val="00F74255"/>
    <w:rPr>
      <w:i/>
      <w:iCs/>
    </w:rPr>
  </w:style>
  <w:style w:type="paragraph" w:customStyle="1" w:styleId="a6">
    <w:name w:val="Прижатый влево"/>
    <w:basedOn w:val="a"/>
    <w:uiPriority w:val="99"/>
    <w:rsid w:val="002F586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2E6"/>
  </w:style>
  <w:style w:type="paragraph" w:styleId="a9">
    <w:name w:val="footer"/>
    <w:basedOn w:val="a"/>
    <w:link w:val="aa"/>
    <w:uiPriority w:val="99"/>
    <w:unhideWhenUsed/>
    <w:rsid w:val="00875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dmsurgut.ru/rubric/24225/Luchshie-praktiki-privlecheniya-nemunicipalnyh-organizaciy-k-predostavleniyu-uslug-za-2019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7A00-31CA-47F3-A63C-15436CEB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4173</Words>
  <Characters>23788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Дарья Владимировна</dc:creator>
  <cp:keywords/>
  <dc:description/>
  <cp:lastModifiedBy>Емельянова Александра Игоревна</cp:lastModifiedBy>
  <cp:revision>6</cp:revision>
  <dcterms:created xsi:type="dcterms:W3CDTF">2021-10-15T08:25:00Z</dcterms:created>
  <dcterms:modified xsi:type="dcterms:W3CDTF">2021-10-15T09:21:00Z</dcterms:modified>
</cp:coreProperties>
</file>