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82FA6" w:rsidTr="002E4325">
        <w:trPr>
          <w:jc w:val="center"/>
        </w:trPr>
        <w:tc>
          <w:tcPr>
            <w:tcW w:w="154" w:type="dxa"/>
            <w:noWrap/>
          </w:tcPr>
          <w:p w:rsidR="00182FA6" w:rsidRPr="005541F0" w:rsidRDefault="00182FA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82FA6" w:rsidRPr="00EC7D10" w:rsidRDefault="003E16E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182FA6" w:rsidRPr="005541F0" w:rsidRDefault="00182FA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82FA6" w:rsidRPr="003E16EA" w:rsidRDefault="003E16E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82FA6" w:rsidRPr="005541F0" w:rsidRDefault="00182F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82FA6" w:rsidRPr="00EC7D10" w:rsidRDefault="003E16E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82FA6" w:rsidRPr="005541F0" w:rsidRDefault="00182F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82FA6" w:rsidRPr="005541F0" w:rsidRDefault="00182FA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82FA6" w:rsidRPr="005541F0" w:rsidRDefault="00182FA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82FA6" w:rsidRPr="003E16EA" w:rsidRDefault="003E16E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6851</w:t>
            </w:r>
          </w:p>
        </w:tc>
      </w:tr>
    </w:tbl>
    <w:p w:rsidR="00182FA6" w:rsidRPr="00403ECC" w:rsidRDefault="00182FA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82FA6" w:rsidRPr="00C46D9A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5541F0" w:rsidRDefault="00182F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5541F0" w:rsidRDefault="00182FA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82FA6" w:rsidRPr="005541F0" w:rsidRDefault="00182FA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82FA6" w:rsidRPr="008A10FC" w:rsidRDefault="00182FA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82FA6" w:rsidRPr="00C46D9A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82FA6" w:rsidRPr="005541F0" w:rsidRDefault="00182FA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82FA6" w:rsidRPr="005541F0" w:rsidRDefault="00182FA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82FA6" w:rsidRPr="005541F0" w:rsidRDefault="00182FA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82FA6" w:rsidRPr="008A10FC" w:rsidRDefault="00182FA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О внесении изменений в постановление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>Администрации города от 20.06.2016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№ 4561 «О порядке предоставления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субсидии на возмещение части затрат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на уплату процентов организациям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коммунального комплекса по привлекаемым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 xml:space="preserve">заемным средствам на реконструкцию,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расширение, модернизацию, строительство,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капитальный ремонт объектов коммунального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комплекса, реализацию проектов альтернативной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энергетики, получаемой ранее в соответствии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с постановлением Правительства автономного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8"/>
          <w:sz w:val="27"/>
          <w:szCs w:val="27"/>
        </w:rPr>
      </w:pPr>
      <w:r w:rsidRPr="00182FA6">
        <w:rPr>
          <w:rFonts w:eastAsia="Calibri" w:cs="Times New Roman"/>
          <w:spacing w:val="-8"/>
          <w:sz w:val="27"/>
          <w:szCs w:val="27"/>
        </w:rPr>
        <w:t xml:space="preserve">округа «О целевой программе Ханты-Мансийского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автономного округа – Югры «Модернизация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и реформирование жилищно-коммунального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6"/>
          <w:sz w:val="27"/>
          <w:szCs w:val="27"/>
        </w:rPr>
      </w:pPr>
      <w:r w:rsidRPr="00182FA6">
        <w:rPr>
          <w:rFonts w:eastAsia="Calibri" w:cs="Times New Roman"/>
          <w:spacing w:val="-6"/>
          <w:sz w:val="27"/>
          <w:szCs w:val="27"/>
        </w:rPr>
        <w:t xml:space="preserve">комплекса Ханты-Мансийского автономного </w:t>
      </w:r>
    </w:p>
    <w:p w:rsidR="00182FA6" w:rsidRPr="00182FA6" w:rsidRDefault="00182FA6" w:rsidP="00182FA6">
      <w:pPr>
        <w:jc w:val="both"/>
        <w:rPr>
          <w:rFonts w:eastAsia="Calibri" w:cs="Times New Roman"/>
          <w:spacing w:val="-8"/>
          <w:sz w:val="27"/>
          <w:szCs w:val="27"/>
        </w:rPr>
      </w:pPr>
      <w:r w:rsidRPr="00182FA6">
        <w:rPr>
          <w:rFonts w:eastAsia="Calibri" w:cs="Times New Roman"/>
          <w:spacing w:val="-8"/>
          <w:sz w:val="27"/>
          <w:szCs w:val="27"/>
        </w:rPr>
        <w:t xml:space="preserve">округа – Югры на 2011 – 2013 годы и на период </w:t>
      </w:r>
    </w:p>
    <w:p w:rsidR="00182FA6" w:rsidRPr="00182FA6" w:rsidRDefault="00182FA6" w:rsidP="00182FA6">
      <w:pPr>
        <w:jc w:val="both"/>
        <w:rPr>
          <w:rFonts w:eastAsia="Calibri" w:cs="Times New Roman"/>
          <w:sz w:val="27"/>
          <w:szCs w:val="27"/>
        </w:rPr>
      </w:pPr>
      <w:r w:rsidRPr="00182FA6">
        <w:rPr>
          <w:rFonts w:eastAsia="Calibri" w:cs="Times New Roman"/>
          <w:sz w:val="27"/>
          <w:szCs w:val="27"/>
        </w:rPr>
        <w:t>до 2015 года»</w:t>
      </w:r>
    </w:p>
    <w:p w:rsidR="00182FA6" w:rsidRDefault="00182FA6" w:rsidP="00182F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182FA6" w:rsidRPr="00182FA6" w:rsidRDefault="00182FA6" w:rsidP="00182FA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182FA6" w:rsidRPr="00520316" w:rsidRDefault="00182FA6" w:rsidP="00182FA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316">
        <w:rPr>
          <w:rFonts w:eastAsia="Calibri" w:cs="Times New Roman"/>
          <w:szCs w:val="28"/>
        </w:rPr>
        <w:t xml:space="preserve">В соответствии с постановлением Правительства Российской Федерации </w:t>
      </w:r>
      <w:r w:rsidRPr="00520316">
        <w:rPr>
          <w:rFonts w:eastAsia="Calibri" w:cs="Times New Roman"/>
          <w:szCs w:val="28"/>
        </w:rPr>
        <w:br/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(муници-         пальным) учреждениям), индивидуальным предпринимателям, а также физическим лицам – производителям товаров, работ, услуг», распоряжениями Администрации города от 30.12.2005 № 3686 «Об утверждении Регламента Админист-           рации города», </w:t>
      </w:r>
      <w:r w:rsidRPr="00520316">
        <w:rPr>
          <w:rFonts w:eastAsia="Times New Roman" w:cs="Times New Roman"/>
          <w:spacing w:val="-6"/>
          <w:szCs w:val="28"/>
          <w:lang w:eastAsia="ru-RU"/>
        </w:rPr>
        <w:t>от 10.01.2017 № 01 «О передаче некоторых полномочий</w:t>
      </w:r>
      <w:r w:rsidRPr="00520316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 w:rsidR="00520316" w:rsidRPr="00520316">
        <w:rPr>
          <w:rFonts w:eastAsia="Times New Roman" w:cs="Times New Roman"/>
          <w:szCs w:val="28"/>
          <w:lang w:eastAsia="ru-RU"/>
        </w:rPr>
        <w:t>:</w:t>
      </w:r>
    </w:p>
    <w:p w:rsidR="00182FA6" w:rsidRPr="00182FA6" w:rsidRDefault="00182FA6" w:rsidP="00182FA6">
      <w:pPr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1. Внести в постановление Администрации города от 20.06.2016 № 4561 </w:t>
      </w:r>
      <w:r>
        <w:rPr>
          <w:rFonts w:eastAsia="Calibri" w:cs="Times New Roman"/>
          <w:szCs w:val="28"/>
        </w:rPr>
        <w:t xml:space="preserve">               </w:t>
      </w:r>
      <w:r w:rsidRPr="00182FA6">
        <w:rPr>
          <w:rFonts w:eastAsia="Calibri" w:cs="Times New Roman"/>
          <w:szCs w:val="28"/>
        </w:rPr>
        <w:t xml:space="preserve">«О порядке предоставления субсидии на возмещение части затрат на уплату </w:t>
      </w:r>
      <w:r>
        <w:rPr>
          <w:rFonts w:eastAsia="Calibri" w:cs="Times New Roman"/>
          <w:szCs w:val="28"/>
        </w:rPr>
        <w:t xml:space="preserve">              </w:t>
      </w:r>
      <w:r w:rsidRPr="00182FA6">
        <w:rPr>
          <w:rFonts w:eastAsia="Calibri" w:cs="Times New Roman"/>
          <w:szCs w:val="28"/>
        </w:rPr>
        <w:t>процентов организациям коммунального комплекса по привлекаемым за</w:t>
      </w:r>
      <w:r>
        <w:rPr>
          <w:rFonts w:eastAsia="Calibri" w:cs="Times New Roman"/>
          <w:szCs w:val="28"/>
        </w:rPr>
        <w:t>е</w:t>
      </w:r>
      <w:r w:rsidRPr="00182FA6">
        <w:rPr>
          <w:rFonts w:eastAsia="Calibri" w:cs="Times New Roman"/>
          <w:szCs w:val="28"/>
        </w:rPr>
        <w:t xml:space="preserve">мным средствам на реконструкцию, расширение, модернизацию, строительство, капитальный ремонт объектов коммунального комплекса, реализацию проектов </w:t>
      </w:r>
      <w:r>
        <w:rPr>
          <w:rFonts w:eastAsia="Calibri" w:cs="Times New Roman"/>
          <w:szCs w:val="28"/>
        </w:rPr>
        <w:t xml:space="preserve">                  </w:t>
      </w:r>
      <w:r w:rsidRPr="00182FA6">
        <w:rPr>
          <w:rFonts w:eastAsia="Calibri" w:cs="Times New Roman"/>
          <w:szCs w:val="28"/>
        </w:rPr>
        <w:t>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</w:t>
      </w:r>
      <w:r w:rsidR="00520316">
        <w:rPr>
          <w:rFonts w:eastAsia="Calibri" w:cs="Times New Roman"/>
          <w:szCs w:val="28"/>
        </w:rPr>
        <w:t xml:space="preserve"> – </w:t>
      </w:r>
      <w:r w:rsidRPr="00182FA6">
        <w:rPr>
          <w:rFonts w:eastAsia="Calibri" w:cs="Times New Roman"/>
          <w:szCs w:val="28"/>
        </w:rPr>
        <w:t>Югры «Модернизация и реформирование жилищно-</w:t>
      </w:r>
      <w:r w:rsidR="00520316">
        <w:rPr>
          <w:rFonts w:eastAsia="Calibri" w:cs="Times New Roman"/>
          <w:szCs w:val="28"/>
        </w:rPr>
        <w:t xml:space="preserve">                </w:t>
      </w:r>
      <w:r w:rsidRPr="00182FA6">
        <w:rPr>
          <w:rFonts w:eastAsia="Calibri" w:cs="Times New Roman"/>
          <w:szCs w:val="28"/>
        </w:rPr>
        <w:t xml:space="preserve">коммунального комплекса Ханты-Мансийского автономного округа – Югры </w:t>
      </w:r>
      <w:r w:rsidR="00520316">
        <w:rPr>
          <w:rFonts w:eastAsia="Calibri" w:cs="Times New Roman"/>
          <w:szCs w:val="28"/>
        </w:rPr>
        <w:t xml:space="preserve">              </w:t>
      </w:r>
      <w:r w:rsidRPr="00182FA6">
        <w:rPr>
          <w:rFonts w:eastAsia="Calibri" w:cs="Times New Roman"/>
          <w:szCs w:val="28"/>
        </w:rPr>
        <w:t xml:space="preserve">на 2011 – 2013 годы и на период до 2015 года» (с изменениями от 16.08.2016 </w:t>
      </w:r>
      <w:r w:rsidR="00520316">
        <w:rPr>
          <w:rFonts w:eastAsia="Calibri" w:cs="Times New Roman"/>
          <w:szCs w:val="28"/>
        </w:rPr>
        <w:t xml:space="preserve">                 </w:t>
      </w:r>
      <w:r w:rsidRPr="00182FA6">
        <w:rPr>
          <w:rFonts w:eastAsia="Calibri" w:cs="Times New Roman"/>
          <w:szCs w:val="28"/>
        </w:rPr>
        <w:t>№ 6161, 05.05.2017 № 3718) следующие изменения: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1.1. В приложени</w:t>
      </w:r>
      <w:r>
        <w:rPr>
          <w:rFonts w:eastAsia="Calibri" w:cs="Times New Roman"/>
          <w:szCs w:val="28"/>
        </w:rPr>
        <w:t>и</w:t>
      </w:r>
      <w:r w:rsidRPr="00182FA6">
        <w:rPr>
          <w:rFonts w:eastAsia="Calibri" w:cs="Times New Roman"/>
          <w:szCs w:val="28"/>
        </w:rPr>
        <w:t xml:space="preserve"> к постановлению: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1.1.1. Абзац первый пункта 4 раздела II изложить в </w:t>
      </w:r>
      <w:r>
        <w:rPr>
          <w:rFonts w:eastAsia="Calibri" w:cs="Times New Roman"/>
          <w:szCs w:val="28"/>
        </w:rPr>
        <w:t>следующей</w:t>
      </w:r>
      <w:r w:rsidRPr="00182FA6">
        <w:rPr>
          <w:rFonts w:eastAsia="Calibri" w:cs="Times New Roman"/>
          <w:szCs w:val="28"/>
        </w:rPr>
        <w:t xml:space="preserve"> редакции: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«4. Требования, которым должны соответствовать получатели субсидии </w:t>
      </w:r>
      <w:r>
        <w:rPr>
          <w:rFonts w:eastAsia="Calibri" w:cs="Times New Roman"/>
          <w:szCs w:val="28"/>
        </w:rPr>
        <w:t xml:space="preserve">                    </w:t>
      </w:r>
      <w:r w:rsidRPr="00182FA6">
        <w:rPr>
          <w:rFonts w:eastAsia="Calibri" w:cs="Times New Roman"/>
          <w:szCs w:val="28"/>
        </w:rPr>
        <w:t>на дату представления документов, указанных в пункте 5 раздела II настоящего порядка:»</w:t>
      </w:r>
      <w:r w:rsidR="00F7610F">
        <w:rPr>
          <w:rFonts w:eastAsia="Calibri" w:cs="Times New Roman"/>
          <w:szCs w:val="28"/>
        </w:rPr>
        <w:t>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1.1.2. Абзац второй пункта 4 раздела II дополнить словами «либо иметь</w:t>
      </w:r>
      <w:r>
        <w:rPr>
          <w:rFonts w:eastAsia="Calibri" w:cs="Times New Roman"/>
          <w:szCs w:val="28"/>
        </w:rPr>
        <w:t xml:space="preserve">                </w:t>
      </w:r>
      <w:r w:rsidRPr="00182FA6">
        <w:rPr>
          <w:rFonts w:eastAsia="Calibri" w:cs="Times New Roman"/>
          <w:szCs w:val="28"/>
        </w:rPr>
        <w:t xml:space="preserve"> </w:t>
      </w:r>
      <w:r w:rsidRPr="00182FA6">
        <w:rPr>
          <w:rFonts w:eastAsia="Calibri" w:cs="Times New Roman"/>
          <w:spacing w:val="-4"/>
          <w:szCs w:val="28"/>
        </w:rPr>
        <w:t>график погашения просроченной задолженности перед местным бюджетом, согла-</w:t>
      </w:r>
      <w:r w:rsidRPr="00182FA6">
        <w:rPr>
          <w:rFonts w:eastAsia="Calibri" w:cs="Times New Roman"/>
          <w:szCs w:val="28"/>
        </w:rPr>
        <w:t>сованный Администрацией города».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1.1.3. Абзац третий пункта 4 раздела II изложить в </w:t>
      </w:r>
      <w:r>
        <w:rPr>
          <w:rFonts w:eastAsia="Calibri" w:cs="Times New Roman"/>
          <w:szCs w:val="28"/>
        </w:rPr>
        <w:t>следующей</w:t>
      </w:r>
      <w:r w:rsidRPr="00182FA6">
        <w:rPr>
          <w:rFonts w:eastAsia="Calibri" w:cs="Times New Roman"/>
          <w:szCs w:val="28"/>
        </w:rPr>
        <w:t xml:space="preserve"> редакции: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«- юридические лица не должны находиться в процессе реорганизации, </w:t>
      </w:r>
      <w:r>
        <w:rPr>
          <w:rFonts w:eastAsia="Calibri" w:cs="Times New Roman"/>
          <w:szCs w:val="28"/>
        </w:rPr>
        <w:t xml:space="preserve">               </w:t>
      </w:r>
      <w:r w:rsidRPr="00182FA6">
        <w:rPr>
          <w:rFonts w:eastAsia="Calibri" w:cs="Times New Roman"/>
          <w:szCs w:val="28"/>
        </w:rPr>
        <w:t xml:space="preserve">ликвидации, банкротства, а индивидуальные предприниматели не должны </w:t>
      </w:r>
      <w:r>
        <w:rPr>
          <w:rFonts w:eastAsia="Calibri" w:cs="Times New Roman"/>
          <w:szCs w:val="28"/>
        </w:rPr>
        <w:t xml:space="preserve">                 </w:t>
      </w:r>
      <w:r w:rsidRPr="00182FA6">
        <w:rPr>
          <w:rFonts w:eastAsia="Calibri" w:cs="Times New Roman"/>
          <w:szCs w:val="28"/>
        </w:rPr>
        <w:t>прекратить деятельность в качестве индивидуального предпринимателя</w:t>
      </w:r>
      <w:r w:rsidR="00520316">
        <w:rPr>
          <w:rFonts w:eastAsia="Calibri" w:cs="Times New Roman"/>
          <w:szCs w:val="28"/>
        </w:rPr>
        <w:t>;</w:t>
      </w:r>
      <w:r w:rsidRPr="00182FA6">
        <w:rPr>
          <w:rFonts w:eastAsia="Calibri" w:cs="Times New Roman"/>
          <w:szCs w:val="28"/>
        </w:rPr>
        <w:t>».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1.2. </w:t>
      </w:r>
      <w:r w:rsidR="0023086A" w:rsidRPr="00182FA6">
        <w:rPr>
          <w:rFonts w:eastAsia="Calibri" w:cs="Times New Roman"/>
          <w:szCs w:val="28"/>
        </w:rPr>
        <w:t>Пункт 2</w:t>
      </w:r>
      <w:r w:rsidRPr="00182FA6">
        <w:rPr>
          <w:rFonts w:eastAsia="Calibri" w:cs="Times New Roman"/>
          <w:szCs w:val="28"/>
        </w:rPr>
        <w:t xml:space="preserve"> приложени</w:t>
      </w:r>
      <w:r w:rsidR="0023086A">
        <w:rPr>
          <w:rFonts w:eastAsia="Calibri" w:cs="Times New Roman"/>
          <w:szCs w:val="28"/>
        </w:rPr>
        <w:t>я</w:t>
      </w:r>
      <w:r w:rsidRPr="00182FA6">
        <w:rPr>
          <w:rFonts w:eastAsia="Calibri" w:cs="Times New Roman"/>
          <w:szCs w:val="28"/>
        </w:rPr>
        <w:t xml:space="preserve"> 1 к порядку предоставления субсидии на возмещение</w:t>
      </w:r>
      <w:r w:rsidR="0023086A">
        <w:rPr>
          <w:rFonts w:eastAsia="Calibri" w:cs="Times New Roman"/>
          <w:szCs w:val="28"/>
        </w:rPr>
        <w:t xml:space="preserve"> </w:t>
      </w:r>
      <w:r w:rsidRPr="00182FA6">
        <w:rPr>
          <w:rFonts w:eastAsia="Calibri" w:cs="Times New Roman"/>
          <w:szCs w:val="28"/>
        </w:rPr>
        <w:t>части затрат на уплату процентов организациям коммунального комплекса по привлекаемым за</w:t>
      </w:r>
      <w:r>
        <w:rPr>
          <w:rFonts w:eastAsia="Calibri" w:cs="Times New Roman"/>
          <w:szCs w:val="28"/>
        </w:rPr>
        <w:t>е</w:t>
      </w:r>
      <w:r w:rsidRPr="00182FA6">
        <w:rPr>
          <w:rFonts w:eastAsia="Calibri" w:cs="Times New Roman"/>
          <w:szCs w:val="28"/>
        </w:rPr>
        <w:t xml:space="preserve">мным средствам на реконструкцию, расширение,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«О целевой </w:t>
      </w:r>
      <w:r>
        <w:rPr>
          <w:rFonts w:eastAsia="Calibri" w:cs="Times New Roman"/>
          <w:szCs w:val="28"/>
        </w:rPr>
        <w:t xml:space="preserve">                    </w:t>
      </w:r>
      <w:r w:rsidRPr="00182FA6">
        <w:rPr>
          <w:rFonts w:eastAsia="Calibri" w:cs="Times New Roman"/>
          <w:szCs w:val="28"/>
        </w:rPr>
        <w:t>программе Ханты-Мансийского автономного округа</w:t>
      </w:r>
      <w:r>
        <w:rPr>
          <w:rFonts w:eastAsia="Calibri" w:cs="Times New Roman"/>
          <w:szCs w:val="28"/>
        </w:rPr>
        <w:t xml:space="preserve"> – </w:t>
      </w:r>
      <w:r w:rsidRPr="00182FA6">
        <w:rPr>
          <w:rFonts w:eastAsia="Calibri" w:cs="Times New Roman"/>
          <w:szCs w:val="28"/>
        </w:rPr>
        <w:t xml:space="preserve">Югры «Модернизация </w:t>
      </w:r>
      <w:r>
        <w:rPr>
          <w:rFonts w:eastAsia="Calibri" w:cs="Times New Roman"/>
          <w:szCs w:val="28"/>
        </w:rPr>
        <w:t xml:space="preserve">                 </w:t>
      </w:r>
      <w:r w:rsidRPr="00182FA6">
        <w:rPr>
          <w:rFonts w:eastAsia="Calibri" w:cs="Times New Roman"/>
          <w:szCs w:val="28"/>
        </w:rPr>
        <w:t xml:space="preserve">и реформирование жилищно-коммунального комплекса Ханты-Мансийского </w:t>
      </w:r>
      <w:r>
        <w:rPr>
          <w:rFonts w:eastAsia="Calibri" w:cs="Times New Roman"/>
          <w:szCs w:val="28"/>
        </w:rPr>
        <w:t xml:space="preserve">                   </w:t>
      </w:r>
      <w:r w:rsidRPr="00182FA6">
        <w:rPr>
          <w:rFonts w:eastAsia="Calibri" w:cs="Times New Roman"/>
          <w:szCs w:val="28"/>
        </w:rPr>
        <w:t>автономного округа – Югры на 2011 – 2013 годы и на период до 2015 года»</w:t>
      </w:r>
      <w:r w:rsidR="0023086A">
        <w:rPr>
          <w:rFonts w:eastAsia="Calibri" w:cs="Times New Roman"/>
          <w:szCs w:val="28"/>
        </w:rPr>
        <w:t xml:space="preserve"> </w:t>
      </w:r>
      <w:r w:rsidR="00520316">
        <w:rPr>
          <w:rFonts w:eastAsia="Calibri" w:cs="Times New Roman"/>
          <w:szCs w:val="28"/>
        </w:rPr>
        <w:t xml:space="preserve">                   </w:t>
      </w:r>
      <w:r w:rsidR="0023086A">
        <w:rPr>
          <w:rFonts w:eastAsia="Calibri" w:cs="Times New Roman"/>
          <w:szCs w:val="28"/>
        </w:rPr>
        <w:t>и</w:t>
      </w:r>
      <w:r w:rsidRPr="00182FA6">
        <w:rPr>
          <w:rFonts w:eastAsia="Calibri" w:cs="Times New Roman"/>
          <w:szCs w:val="28"/>
        </w:rPr>
        <w:t xml:space="preserve">зложить в </w:t>
      </w:r>
      <w:r>
        <w:rPr>
          <w:rFonts w:eastAsia="Calibri" w:cs="Times New Roman"/>
          <w:szCs w:val="28"/>
        </w:rPr>
        <w:t>следующей</w:t>
      </w:r>
      <w:r w:rsidRPr="00182FA6">
        <w:rPr>
          <w:rFonts w:eastAsia="Calibri" w:cs="Times New Roman"/>
          <w:szCs w:val="28"/>
        </w:rPr>
        <w:t xml:space="preserve"> редакции: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«2. Получатель субсидии подтверждает, что по состоянию на __.___.____г.: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2.1.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2.2. Не имеет иной просроченной задолженности перед местным бюджетом (в случае ее отсутствия, при наличии </w:t>
      </w:r>
      <w:r>
        <w:rPr>
          <w:rFonts w:eastAsia="Calibri" w:cs="Times New Roman"/>
          <w:szCs w:val="28"/>
        </w:rPr>
        <w:t>–</w:t>
      </w:r>
      <w:r w:rsidRPr="00182FA6">
        <w:rPr>
          <w:rFonts w:eastAsia="Calibri" w:cs="Times New Roman"/>
          <w:szCs w:val="28"/>
        </w:rPr>
        <w:t xml:space="preserve"> имеет график погашения просро</w:t>
      </w:r>
      <w:r>
        <w:rPr>
          <w:rFonts w:eastAsia="Calibri" w:cs="Times New Roman"/>
          <w:szCs w:val="28"/>
        </w:rPr>
        <w:t xml:space="preserve">-                       </w:t>
      </w:r>
      <w:r w:rsidRPr="00182FA6">
        <w:rPr>
          <w:rFonts w:eastAsia="Calibri" w:cs="Times New Roman"/>
          <w:szCs w:val="28"/>
        </w:rPr>
        <w:t xml:space="preserve">ченной </w:t>
      </w:r>
      <w:r w:rsidRPr="00182FA6">
        <w:rPr>
          <w:rFonts w:eastAsia="Calibri" w:cs="Times New Roman"/>
          <w:spacing w:val="-4"/>
          <w:szCs w:val="28"/>
        </w:rPr>
        <w:t>задолженности перед местным бюджетом, согласованный Админист</w:t>
      </w:r>
      <w:r>
        <w:rPr>
          <w:rFonts w:eastAsia="Calibri" w:cs="Times New Roman"/>
          <w:spacing w:val="-4"/>
          <w:szCs w:val="28"/>
        </w:rPr>
        <w:t xml:space="preserve">-                </w:t>
      </w:r>
      <w:r w:rsidRPr="00182FA6">
        <w:rPr>
          <w:rFonts w:eastAsia="Calibri" w:cs="Times New Roman"/>
          <w:spacing w:val="-4"/>
          <w:szCs w:val="28"/>
        </w:rPr>
        <w:t>рацией города).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2.3. Не находится в процессе реорганизации, ликвидации, банкротства </w:t>
      </w:r>
      <w:r w:rsidRPr="00182FA6">
        <w:rPr>
          <w:rFonts w:eastAsia="Calibri" w:cs="Times New Roman"/>
          <w:szCs w:val="28"/>
        </w:rPr>
        <w:br/>
        <w:t xml:space="preserve">(для юридических лиц, для индивидуальных предпринимателей </w:t>
      </w:r>
      <w:r>
        <w:rPr>
          <w:rFonts w:eastAsia="Calibri" w:cs="Times New Roman"/>
          <w:szCs w:val="28"/>
        </w:rPr>
        <w:t>–</w:t>
      </w:r>
      <w:r w:rsidRPr="00182FA6">
        <w:rPr>
          <w:rFonts w:eastAsia="Calibri" w:cs="Times New Roman"/>
          <w:szCs w:val="28"/>
        </w:rPr>
        <w:t xml:space="preserve"> не прекратил деятельность в качестве индивидуального предпринимателя).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2.4.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>
        <w:rPr>
          <w:rFonts w:eastAsia="Calibri" w:cs="Times New Roman"/>
          <w:szCs w:val="28"/>
        </w:rPr>
        <w:t xml:space="preserve">                    </w:t>
      </w:r>
      <w:r w:rsidRPr="00182FA6">
        <w:rPr>
          <w:rFonts w:eastAsia="Calibri" w:cs="Times New Roman"/>
          <w:szCs w:val="28"/>
        </w:rPr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 xml:space="preserve">2.5. Не получает бюджетные средства из местного бюджета в соответствии с иными нормативными правовыми актами, муниципальными правовыми актами на возмещение части затрат на уплату процентов организациям коммунального </w:t>
      </w:r>
      <w:r w:rsidRPr="00182FA6">
        <w:rPr>
          <w:rFonts w:eastAsia="Calibri" w:cs="Times New Roman"/>
          <w:spacing w:val="-4"/>
          <w:szCs w:val="28"/>
        </w:rPr>
        <w:t>комплекса по привлекаемым за</w:t>
      </w:r>
      <w:r w:rsidR="00520316">
        <w:rPr>
          <w:rFonts w:eastAsia="Calibri" w:cs="Times New Roman"/>
          <w:spacing w:val="-4"/>
          <w:szCs w:val="28"/>
        </w:rPr>
        <w:t>е</w:t>
      </w:r>
      <w:r w:rsidRPr="00182FA6">
        <w:rPr>
          <w:rFonts w:eastAsia="Calibri" w:cs="Times New Roman"/>
          <w:spacing w:val="-4"/>
          <w:szCs w:val="28"/>
        </w:rPr>
        <w:t>мным средствам на реконструкцию, расширение,</w:t>
      </w:r>
      <w:r w:rsidRPr="00182FA6">
        <w:rPr>
          <w:rFonts w:eastAsia="Calibri" w:cs="Times New Roman"/>
          <w:szCs w:val="28"/>
        </w:rPr>
        <w:t xml:space="preserve">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«О целевой программе Ханты-Мансийского автономного округа</w:t>
      </w:r>
      <w:r>
        <w:rPr>
          <w:rFonts w:eastAsia="Calibri" w:cs="Times New Roman"/>
          <w:szCs w:val="28"/>
        </w:rPr>
        <w:t xml:space="preserve"> – </w:t>
      </w:r>
      <w:r w:rsidRPr="00182FA6">
        <w:rPr>
          <w:rFonts w:eastAsia="Calibri" w:cs="Times New Roman"/>
          <w:szCs w:val="28"/>
        </w:rPr>
        <w:t xml:space="preserve">Югры «Модернизация </w:t>
      </w:r>
      <w:r w:rsidRPr="00182FA6">
        <w:rPr>
          <w:rFonts w:eastAsia="Calibri" w:cs="Times New Roman"/>
          <w:szCs w:val="28"/>
        </w:rPr>
        <w:br/>
        <w:t xml:space="preserve">и реформирование жилищно-коммунального комплекса Ханты-Мансийского </w:t>
      </w:r>
      <w:r>
        <w:rPr>
          <w:rFonts w:eastAsia="Calibri" w:cs="Times New Roman"/>
          <w:szCs w:val="28"/>
        </w:rPr>
        <w:t xml:space="preserve">                 </w:t>
      </w:r>
      <w:r w:rsidRPr="00182FA6">
        <w:rPr>
          <w:rFonts w:eastAsia="Calibri" w:cs="Times New Roman"/>
          <w:szCs w:val="28"/>
        </w:rPr>
        <w:t>автономного округа – Югры на 2011 – 2013 годы и на период до 2015 года».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Подтверждаю________________».</w:t>
      </w:r>
    </w:p>
    <w:p w:rsid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182FA6">
        <w:rPr>
          <w:rFonts w:eastAsia="Calibri" w:cs="Times New Roman"/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 w:rsidR="0023086A">
        <w:rPr>
          <w:rFonts w:eastAsia="Calibri" w:cs="Times New Roman"/>
          <w:szCs w:val="28"/>
        </w:rPr>
        <w:t xml:space="preserve">-    </w:t>
      </w:r>
      <w:r w:rsidRPr="00182FA6">
        <w:rPr>
          <w:rFonts w:eastAsia="Calibri" w:cs="Times New Roman"/>
          <w:szCs w:val="28"/>
        </w:rPr>
        <w:t>мации и разместить на официальном портале Администрации города.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182FA6">
        <w:rPr>
          <w:rFonts w:eastAsia="Calibri" w:cs="Times New Roman"/>
          <w:szCs w:val="28"/>
        </w:rPr>
        <w:t>. Настоящее постановление вступает в силу после официального опубликования.</w:t>
      </w:r>
    </w:p>
    <w:p w:rsidR="00182FA6" w:rsidRPr="00182FA6" w:rsidRDefault="00182FA6" w:rsidP="00182FA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182FA6">
        <w:rPr>
          <w:rFonts w:eastAsia="Calibri" w:cs="Times New Roman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182FA6" w:rsidRPr="00182FA6" w:rsidRDefault="00182FA6" w:rsidP="00182FA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182FA6" w:rsidRPr="00182FA6" w:rsidRDefault="00182FA6" w:rsidP="00182FA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182FA6" w:rsidRPr="00182FA6" w:rsidRDefault="00182FA6" w:rsidP="00182FA6">
      <w:pPr>
        <w:autoSpaceDE w:val="0"/>
        <w:autoSpaceDN w:val="0"/>
        <w:adjustRightInd w:val="0"/>
        <w:ind w:left="927"/>
        <w:contextualSpacing/>
        <w:jc w:val="both"/>
        <w:rPr>
          <w:rFonts w:eastAsia="Calibri" w:cs="Times New Roman"/>
          <w:szCs w:val="28"/>
        </w:rPr>
      </w:pPr>
    </w:p>
    <w:p w:rsidR="00182FA6" w:rsidRDefault="00182FA6" w:rsidP="00182F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20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А.А. Жердев</w:t>
      </w:r>
    </w:p>
    <w:p w:rsidR="00672112" w:rsidRPr="00182FA6" w:rsidRDefault="00672112" w:rsidP="00182FA6">
      <w:pPr>
        <w:autoSpaceDE w:val="0"/>
        <w:autoSpaceDN w:val="0"/>
        <w:adjustRightInd w:val="0"/>
        <w:jc w:val="both"/>
      </w:pPr>
    </w:p>
    <w:sectPr w:rsidR="00672112" w:rsidRPr="00182FA6" w:rsidSect="00182FA6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90" w:rsidRDefault="00E23A90" w:rsidP="00520316">
      <w:r>
        <w:separator/>
      </w:r>
    </w:p>
  </w:endnote>
  <w:endnote w:type="continuationSeparator" w:id="0">
    <w:p w:rsidR="00E23A90" w:rsidRDefault="00E23A90" w:rsidP="005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90" w:rsidRDefault="00E23A90" w:rsidP="00520316">
      <w:r>
        <w:separator/>
      </w:r>
    </w:p>
  </w:footnote>
  <w:footnote w:type="continuationSeparator" w:id="0">
    <w:p w:rsidR="00E23A90" w:rsidRDefault="00E23A90" w:rsidP="0052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4462"/>
      <w:docPartObj>
        <w:docPartGallery w:val="Page Numbers (Top of Page)"/>
        <w:docPartUnique/>
      </w:docPartObj>
    </w:sdtPr>
    <w:sdtEndPr/>
    <w:sdtContent>
      <w:p w:rsidR="00520316" w:rsidRDefault="00520316">
        <w:pPr>
          <w:pStyle w:val="a4"/>
          <w:jc w:val="center"/>
        </w:pPr>
        <w:r w:rsidRPr="00520316">
          <w:rPr>
            <w:sz w:val="20"/>
            <w:szCs w:val="20"/>
          </w:rPr>
          <w:fldChar w:fldCharType="begin"/>
        </w:r>
        <w:r w:rsidRPr="00520316">
          <w:rPr>
            <w:sz w:val="20"/>
            <w:szCs w:val="20"/>
          </w:rPr>
          <w:instrText>PAGE   \* MERGEFORMAT</w:instrText>
        </w:r>
        <w:r w:rsidRPr="00520316">
          <w:rPr>
            <w:sz w:val="20"/>
            <w:szCs w:val="20"/>
          </w:rPr>
          <w:fldChar w:fldCharType="separate"/>
        </w:r>
        <w:r w:rsidR="003E16EA">
          <w:rPr>
            <w:noProof/>
            <w:sz w:val="20"/>
            <w:szCs w:val="20"/>
          </w:rPr>
          <w:t>2</w:t>
        </w:r>
        <w:r w:rsidRPr="00520316">
          <w:rPr>
            <w:sz w:val="20"/>
            <w:szCs w:val="20"/>
          </w:rPr>
          <w:fldChar w:fldCharType="end"/>
        </w:r>
      </w:p>
    </w:sdtContent>
  </w:sdt>
  <w:p w:rsidR="00520316" w:rsidRDefault="005203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A6"/>
    <w:rsid w:val="00166859"/>
    <w:rsid w:val="00182FA6"/>
    <w:rsid w:val="0023086A"/>
    <w:rsid w:val="003B46E0"/>
    <w:rsid w:val="003E16EA"/>
    <w:rsid w:val="00520316"/>
    <w:rsid w:val="00672112"/>
    <w:rsid w:val="0074252A"/>
    <w:rsid w:val="00857D88"/>
    <w:rsid w:val="009A1341"/>
    <w:rsid w:val="009C4244"/>
    <w:rsid w:val="00E23A9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33D6-05F0-4DD4-9030-CB1A07B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FA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2F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03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3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203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3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2017-08-02T09:35:00Z</cp:lastPrinted>
  <dcterms:created xsi:type="dcterms:W3CDTF">2017-08-07T06:24:00Z</dcterms:created>
  <dcterms:modified xsi:type="dcterms:W3CDTF">2017-08-07T06:24:00Z</dcterms:modified>
</cp:coreProperties>
</file>