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83" w:rsidRDefault="00EB2D83" w:rsidP="00EB2D83">
      <w:pPr>
        <w:pStyle w:val="ConsPlusTitle"/>
        <w:ind w:left="567" w:right="-85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275AE" w:rsidRPr="00EB2D83" w:rsidRDefault="00EB2D83" w:rsidP="002B1849">
      <w:pPr>
        <w:pStyle w:val="ConsPlusTitle"/>
        <w:ind w:right="-1" w:firstLine="113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Отчет о реализации </w:t>
      </w:r>
      <w:r w:rsidR="003125CE" w:rsidRPr="00EB2D83">
        <w:rPr>
          <w:rFonts w:ascii="Times New Roman" w:hAnsi="Times New Roman" w:cs="Times New Roman"/>
          <w:b w:val="0"/>
          <w:sz w:val="28"/>
          <w:szCs w:val="28"/>
        </w:rPr>
        <w:t xml:space="preserve">вектора «Здравоохранение»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направления «Человеческий потенциал» </w:t>
      </w:r>
      <w:r w:rsidR="003125CE" w:rsidRPr="00EB2D83">
        <w:rPr>
          <w:rFonts w:ascii="Times New Roman" w:hAnsi="Times New Roman" w:cs="Times New Roman"/>
          <w:b w:val="0"/>
          <w:sz w:val="28"/>
          <w:szCs w:val="28"/>
        </w:rPr>
        <w:t>Стратегии социально-экономического развития муниципального образования городской округ город Сургут на период до 2030 года за 201</w:t>
      </w:r>
      <w:r w:rsidR="00A34D28">
        <w:rPr>
          <w:rFonts w:ascii="Times New Roman" w:hAnsi="Times New Roman" w:cs="Times New Roman"/>
          <w:b w:val="0"/>
          <w:sz w:val="28"/>
          <w:szCs w:val="28"/>
        </w:rPr>
        <w:t>7</w:t>
      </w:r>
      <w:r w:rsidR="003125CE" w:rsidRPr="00EB2D8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275AE" w:rsidRPr="00EB2D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275AE" w:rsidRDefault="004275AE" w:rsidP="002B1849">
      <w:pPr>
        <w:pStyle w:val="ConsPlusTitle"/>
        <w:ind w:right="-1" w:firstLine="11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7D49" w:rsidRPr="00C27D49" w:rsidRDefault="00A34D28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C27D49" w:rsidRPr="00C27D49">
        <w:rPr>
          <w:rFonts w:ascii="Times New Roman" w:hAnsi="Times New Roman" w:cs="Times New Roman"/>
          <w:color w:val="000000"/>
          <w:sz w:val="28"/>
          <w:szCs w:val="28"/>
        </w:rPr>
        <w:t>1. Стратегическая цель и задачи вектора.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Стратегическая цель вектора – обеспечение качественной, своевременной и доступной медицинской помощи для сохранения, укрепления здоровья и повышения продолжительности активной жизни.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Задачами, направленными на достижение стратегической цели, являются: 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1) обеспечить приоритет профилактической медицины; 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2) обеспечить высокотехнологичную качественную и доступную медицинскую помощь; 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3) сформировать идеологию ответственности за своё здоровье;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4) обеспечить выполнение государственных нормативов по количеству объектов здравоохранения; 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5) повысить квалификацию специалистов. 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7D49" w:rsidRPr="00C27D49" w:rsidRDefault="00A34D28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C27D49" w:rsidRPr="00C27D49">
        <w:rPr>
          <w:rFonts w:ascii="Times New Roman" w:hAnsi="Times New Roman" w:cs="Times New Roman"/>
          <w:color w:val="000000"/>
          <w:sz w:val="28"/>
          <w:szCs w:val="28"/>
        </w:rPr>
        <w:t>2. Оценка достижения запланированных значений интегральных индексов и частных показателей.</w:t>
      </w:r>
    </w:p>
    <w:p w:rsidR="00C27D49" w:rsidRPr="00C27D49" w:rsidRDefault="00A34D28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D28">
        <w:rPr>
          <w:rFonts w:ascii="Times New Roman" w:hAnsi="Times New Roman" w:cs="Times New Roman"/>
          <w:color w:val="000000"/>
          <w:sz w:val="28"/>
          <w:szCs w:val="28"/>
        </w:rPr>
        <w:t>Анализ достижения интегральных индексов и частных показателей достижения целей Стратегии представлен в приложении 1 к отчету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Раздел 3. Оценка реализации наиболее значимых для вектора проектов (мероприятий), инвестиционных проектов.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Реализация плана мероприятий осуществлялась посредством реализации на территории города двух государственных программ: «Развитие здравоохранения на 2016 – 2020 годы» и «Государственной программы по реализации Договора между органами государственной власти Тюменской области, Ханты-Мансийского автономного округа – Югры и Ямало-Ненецкого автономного округа «Сотрудничество».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27D49">
        <w:rPr>
          <w:rFonts w:ascii="Times New Roman" w:hAnsi="Times New Roman" w:cs="Times New Roman"/>
          <w:color w:val="000000"/>
          <w:sz w:val="28"/>
          <w:szCs w:val="28"/>
        </w:rPr>
        <w:t>Наиболее значимыми для вектора «Здравоохранение» инвестиционными проектами являются следующие:</w:t>
      </w:r>
      <w:proofErr w:type="gramEnd"/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ab/>
        <w:t>перинатальный центр (</w:t>
      </w:r>
      <w:proofErr w:type="spellStart"/>
      <w:r w:rsidRPr="00C27D49">
        <w:rPr>
          <w:rFonts w:ascii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центр охраны материнства и детства);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ab/>
        <w:t>детская больница с инфекционным отделением;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C27D49">
        <w:rPr>
          <w:rFonts w:ascii="Times New Roman" w:hAnsi="Times New Roman" w:cs="Times New Roman"/>
          <w:color w:val="000000"/>
          <w:sz w:val="28"/>
          <w:szCs w:val="28"/>
        </w:rPr>
        <w:t>кардиореабилитационный</w:t>
      </w:r>
      <w:proofErr w:type="spellEnd"/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центр;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ab/>
        <w:t>строительство городских поликлиник в 27 и 37 микрорайонах города;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ab/>
        <w:t>хоспис/центр паллиативной медицины.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A34D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году из числа наиболее значимых инвестиционных проектов на территории города осуществлялась реализация:  </w:t>
      </w:r>
    </w:p>
    <w:p w:rsidR="00C27D49" w:rsidRPr="00C27D49" w:rsidRDefault="00C27D49" w:rsidP="004D37C9">
      <w:pPr>
        <w:numPr>
          <w:ilvl w:val="0"/>
          <w:numId w:val="8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проекта «Перинатальный центр (</w:t>
      </w:r>
      <w:proofErr w:type="spellStart"/>
      <w:r w:rsidRPr="00C27D49">
        <w:rPr>
          <w:rFonts w:ascii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центр охраны материнства и детства)» на 315 коек и 165 посещений в смену, реализуемый в рамках 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соглашения о государственно-частном партнерстве. Реализац</w:t>
      </w:r>
      <w:r w:rsidR="00A34D28">
        <w:rPr>
          <w:rFonts w:ascii="Times New Roman" w:hAnsi="Times New Roman" w:cs="Times New Roman"/>
          <w:color w:val="000000"/>
          <w:sz w:val="28"/>
          <w:szCs w:val="28"/>
        </w:rPr>
        <w:t>ия проекта идет по плану, в 2017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A34D28">
        <w:rPr>
          <w:rFonts w:ascii="Times New Roman" w:hAnsi="Times New Roman" w:cs="Times New Roman"/>
          <w:color w:val="000000"/>
          <w:sz w:val="28"/>
          <w:szCs w:val="28"/>
        </w:rPr>
        <w:t xml:space="preserve"> продолжилось строительство объекта.</w:t>
      </w:r>
    </w:p>
    <w:p w:rsidR="00C27D49" w:rsidRPr="00C27D49" w:rsidRDefault="00C27D49" w:rsidP="004D37C9">
      <w:pPr>
        <w:numPr>
          <w:ilvl w:val="0"/>
          <w:numId w:val="8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проекта «Строительство городских поликлиник в 27 и 37 микрорайонах города» - </w:t>
      </w:r>
      <w:r w:rsidR="00A34D28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завершено строительство объекта «Поликлиника «Нефтяник» на 700 посещений в смену в 37 микрорайоне». Открытие поликлиники </w:t>
      </w:r>
      <w:r w:rsidR="00A34D28">
        <w:rPr>
          <w:rFonts w:ascii="Times New Roman" w:hAnsi="Times New Roman" w:cs="Times New Roman"/>
          <w:color w:val="000000"/>
          <w:sz w:val="28"/>
          <w:szCs w:val="28"/>
        </w:rPr>
        <w:t>было в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март</w:t>
      </w:r>
      <w:r w:rsidR="00A34D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2017 года, после получения лицензии на медицинскую деятельность. </w:t>
      </w:r>
    </w:p>
    <w:p w:rsidR="00C27D49" w:rsidRPr="00C27D49" w:rsidRDefault="00A34D28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Также в 2017</w:t>
      </w:r>
      <w:r w:rsidR="00C27D49"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году в рамках реализации плана мероприятий по реализации Стратегии социально-экономического развития муниципального образования городской округ город Сургут по вектору «Здравоохранение»:  </w:t>
      </w:r>
    </w:p>
    <w:p w:rsidR="00C27D49" w:rsidRPr="00C27D49" w:rsidRDefault="00A34D28" w:rsidP="004D37C9">
      <w:pPr>
        <w:numPr>
          <w:ilvl w:val="0"/>
          <w:numId w:val="9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Открылся</w:t>
      </w:r>
      <w:r w:rsidR="00CA6263">
        <w:rPr>
          <w:rFonts w:ascii="Times New Roman" w:hAnsi="Times New Roman" w:cs="Times New Roman"/>
          <w:color w:val="000000"/>
          <w:sz w:val="28"/>
          <w:szCs w:val="28"/>
        </w:rPr>
        <w:t xml:space="preserve"> в апреле 2017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пациентов операционно-реанимационный</w:t>
      </w:r>
      <w:r w:rsidR="00CA6263">
        <w:rPr>
          <w:rFonts w:ascii="Times New Roman" w:hAnsi="Times New Roman" w:cs="Times New Roman"/>
          <w:color w:val="000000"/>
          <w:sz w:val="28"/>
          <w:szCs w:val="28"/>
        </w:rPr>
        <w:t xml:space="preserve"> корпус</w:t>
      </w:r>
      <w:r w:rsidR="00C27D49"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БУ ХМАО - Югры «Окружной кардиологический диспансер «Центр диагностики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хирургии».</w:t>
      </w:r>
    </w:p>
    <w:p w:rsidR="00C27D49" w:rsidRPr="00C27D49" w:rsidRDefault="00C27D49" w:rsidP="004D37C9">
      <w:pPr>
        <w:numPr>
          <w:ilvl w:val="0"/>
          <w:numId w:val="9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Продолжена реконструкция консультативно-диагностической поликлиники на 425 посещений в смену «</w:t>
      </w:r>
      <w:proofErr w:type="spellStart"/>
      <w:r w:rsidRPr="00C27D49">
        <w:rPr>
          <w:rFonts w:ascii="Times New Roman" w:hAnsi="Times New Roman" w:cs="Times New Roman"/>
          <w:color w:val="000000"/>
          <w:sz w:val="28"/>
          <w:szCs w:val="28"/>
        </w:rPr>
        <w:t>Сургутской</w:t>
      </w:r>
      <w:proofErr w:type="spellEnd"/>
      <w:r w:rsidRPr="00C27D49">
        <w:rPr>
          <w:rFonts w:ascii="Times New Roman" w:hAnsi="Times New Roman" w:cs="Times New Roman"/>
          <w:color w:val="000000"/>
          <w:sz w:val="28"/>
          <w:szCs w:val="28"/>
        </w:rPr>
        <w:t xml:space="preserve"> окружной клинической больницы».</w:t>
      </w:r>
    </w:p>
    <w:p w:rsidR="00C27D49" w:rsidRPr="00EA43D9" w:rsidRDefault="00C27D49" w:rsidP="003020C3">
      <w:pPr>
        <w:numPr>
          <w:ilvl w:val="0"/>
          <w:numId w:val="9"/>
        </w:numPr>
        <w:spacing w:after="0" w:line="24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3D9">
        <w:rPr>
          <w:rFonts w:ascii="Times New Roman" w:hAnsi="Times New Roman" w:cs="Times New Roman"/>
          <w:color w:val="000000"/>
          <w:sz w:val="28"/>
          <w:szCs w:val="28"/>
        </w:rPr>
        <w:t>Департаментом здравоохранения Ханты-Мансийского автон</w:t>
      </w:r>
      <w:r w:rsidR="00EA43D9" w:rsidRPr="00EA43D9">
        <w:rPr>
          <w:rFonts w:ascii="Times New Roman" w:hAnsi="Times New Roman" w:cs="Times New Roman"/>
          <w:color w:val="000000"/>
          <w:sz w:val="28"/>
          <w:szCs w:val="28"/>
        </w:rPr>
        <w:t xml:space="preserve">омного округа – Югры приобретены 4 помещения для размещения филиалов поликлиник </w:t>
      </w:r>
      <w:r w:rsidR="00EA43D9">
        <w:rPr>
          <w:rFonts w:ascii="Times New Roman" w:hAnsi="Times New Roman" w:cs="Times New Roman"/>
          <w:color w:val="000000"/>
          <w:sz w:val="28"/>
          <w:szCs w:val="28"/>
        </w:rPr>
        <w:t xml:space="preserve">(офисов врачей) </w:t>
      </w:r>
      <w:r w:rsidR="00EA43D9" w:rsidRPr="00EA43D9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 г. Сургут, ул. </w:t>
      </w:r>
      <w:proofErr w:type="spellStart"/>
      <w:r w:rsidR="00EA43D9" w:rsidRPr="00EA43D9">
        <w:rPr>
          <w:rFonts w:ascii="Times New Roman" w:hAnsi="Times New Roman" w:cs="Times New Roman"/>
          <w:color w:val="000000"/>
          <w:sz w:val="28"/>
          <w:szCs w:val="28"/>
        </w:rPr>
        <w:t>Мелик-Карамова</w:t>
      </w:r>
      <w:proofErr w:type="spellEnd"/>
      <w:r w:rsidR="00EA43D9" w:rsidRPr="00EA43D9">
        <w:rPr>
          <w:rFonts w:ascii="Times New Roman" w:hAnsi="Times New Roman" w:cs="Times New Roman"/>
          <w:color w:val="000000"/>
          <w:sz w:val="28"/>
          <w:szCs w:val="28"/>
        </w:rPr>
        <w:t xml:space="preserve"> д.4 общей площадью 500 м</w:t>
      </w:r>
      <w:proofErr w:type="gramStart"/>
      <w:r w:rsidR="00EA43D9" w:rsidRPr="00EA43D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EA43D9" w:rsidRPr="00EA4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3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A43D9" w:rsidRPr="00EA43D9">
        <w:rPr>
          <w:rFonts w:ascii="Times New Roman" w:hAnsi="Times New Roman" w:cs="Times New Roman"/>
          <w:color w:val="000000"/>
          <w:sz w:val="28"/>
          <w:szCs w:val="28"/>
        </w:rPr>
        <w:t xml:space="preserve"> по ул. Университетская д.19 общей площадью 750 м2</w:t>
      </w:r>
      <w:r w:rsidR="00EA43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D49" w:rsidRPr="00C27D49" w:rsidRDefault="00C27D49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D49">
        <w:rPr>
          <w:rFonts w:ascii="Times New Roman" w:hAnsi="Times New Roman" w:cs="Times New Roman"/>
          <w:color w:val="000000"/>
          <w:sz w:val="28"/>
          <w:szCs w:val="28"/>
        </w:rPr>
        <w:t>Раздел 4. По результатам проведенной оценки можно сделать следующие выводы:</w:t>
      </w:r>
    </w:p>
    <w:p w:rsidR="00AF1222" w:rsidRDefault="00CA6263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полномочия по организации и оказанию медицинской помощи находятся в субъекте, до предоставления данных из Департамента здравоохранения ХМАО-Югры</w:t>
      </w:r>
      <w:r w:rsidR="00FE490A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сделать выводы о достижении стратегической цели вектора. </w:t>
      </w:r>
    </w:p>
    <w:p w:rsidR="00AF1222" w:rsidRDefault="00AF1222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222" w:rsidRDefault="00AF1222" w:rsidP="004D37C9">
      <w:pPr>
        <w:spacing w:after="0" w:line="240" w:lineRule="auto"/>
        <w:ind w:left="567" w:right="140" w:firstLine="567"/>
        <w:jc w:val="both"/>
        <w:rPr>
          <w:rFonts w:ascii="Times New Roman" w:hAnsi="Times New Roman" w:cs="Times New Roman"/>
          <w:sz w:val="28"/>
          <w:szCs w:val="28"/>
        </w:rPr>
        <w:sectPr w:rsidR="00AF1222" w:rsidSect="004D37C9">
          <w:footerReference w:type="default" r:id="rId9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855212" w:rsidRDefault="00855212" w:rsidP="00602EFD">
      <w:pPr>
        <w:pStyle w:val="a6"/>
        <w:ind w:left="567" w:right="-852"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6256" w:rsidRPr="00AA6256" w:rsidRDefault="00AA6256" w:rsidP="00AA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6256">
        <w:rPr>
          <w:rFonts w:ascii="Times New Roman" w:hAnsi="Times New Roman" w:cs="Times New Roman"/>
          <w:sz w:val="28"/>
          <w:szCs w:val="28"/>
        </w:rPr>
        <w:t>Приложение 1 к отчету</w:t>
      </w:r>
    </w:p>
    <w:p w:rsidR="00AA6256" w:rsidRDefault="00AA6256" w:rsidP="00850C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1EBB" w:rsidRDefault="00E91EBB" w:rsidP="00850C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EBB">
        <w:rPr>
          <w:rFonts w:ascii="Times New Roman" w:hAnsi="Times New Roman" w:cs="Times New Roman"/>
          <w:sz w:val="28"/>
          <w:szCs w:val="28"/>
        </w:rPr>
        <w:t xml:space="preserve">Анализ </w:t>
      </w:r>
    </w:p>
    <w:p w:rsidR="00931046" w:rsidRDefault="00E91EBB" w:rsidP="00850C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1EBB">
        <w:rPr>
          <w:rFonts w:ascii="Times New Roman" w:hAnsi="Times New Roman" w:cs="Times New Roman"/>
          <w:sz w:val="28"/>
          <w:szCs w:val="28"/>
        </w:rPr>
        <w:t xml:space="preserve">достижения интегральных индексов и частных показателей достижения целей Стратегии </w:t>
      </w:r>
      <w:r w:rsidR="00850C74" w:rsidRPr="00937C30">
        <w:rPr>
          <w:rFonts w:ascii="Times New Roman" w:hAnsi="Times New Roman" w:cs="Times New Roman"/>
          <w:sz w:val="28"/>
          <w:szCs w:val="28"/>
        </w:rPr>
        <w:t>по вектору «Здравоохранение»</w:t>
      </w:r>
      <w:r w:rsidR="00937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74" w:rsidRPr="00937C30" w:rsidRDefault="00A34D28" w:rsidP="00850C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</w:t>
      </w:r>
      <w:r w:rsidR="00937C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0C74" w:rsidRPr="00937C30" w:rsidRDefault="00850C74" w:rsidP="00850C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C30">
        <w:rPr>
          <w:rFonts w:ascii="Times New Roman" w:hAnsi="Times New Roman" w:cs="Times New Roman"/>
          <w:sz w:val="24"/>
          <w:szCs w:val="24"/>
        </w:rPr>
        <w:t>Таб.1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850"/>
        <w:gridCol w:w="1134"/>
        <w:gridCol w:w="851"/>
        <w:gridCol w:w="1417"/>
        <w:gridCol w:w="1418"/>
        <w:gridCol w:w="1984"/>
        <w:gridCol w:w="4253"/>
      </w:tblGrid>
      <w:tr w:rsidR="00574089" w:rsidRPr="00847236" w:rsidTr="00574089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089" w:rsidRPr="00847236" w:rsidRDefault="00574089" w:rsidP="00DE551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089" w:rsidRPr="004A09C8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089" w:rsidRPr="004A09C8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2016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089" w:rsidRPr="004A09C8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2017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89" w:rsidRPr="00E923AD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89" w:rsidRPr="00E923AD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89" w:rsidRPr="00E923AD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089" w:rsidRPr="00847236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2030 год (по состоянию на 31.12.2029)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089" w:rsidRPr="00847236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 (внутренние и внешние условия, повлиявшие на уровень достижения показателей)</w:t>
            </w:r>
          </w:p>
        </w:tc>
      </w:tr>
      <w:tr w:rsidR="00574089" w:rsidRPr="00847236" w:rsidTr="00574089">
        <w:trPr>
          <w:trHeight w:val="683"/>
        </w:trPr>
        <w:tc>
          <w:tcPr>
            <w:tcW w:w="2552" w:type="dxa"/>
            <w:shd w:val="clear" w:color="auto" w:fill="FFFFFF" w:themeFill="background1"/>
          </w:tcPr>
          <w:p w:rsidR="00574089" w:rsidRPr="00847236" w:rsidRDefault="00574089" w:rsidP="00DE5514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47236">
              <w:rPr>
                <w:rFonts w:ascii="Times New Roman" w:hAnsi="Times New Roman" w:cs="Times New Roman"/>
              </w:rPr>
              <w:t>Направление «Человеческий потенциал»</w:t>
            </w:r>
          </w:p>
        </w:tc>
        <w:tc>
          <w:tcPr>
            <w:tcW w:w="1134" w:type="dxa"/>
            <w:shd w:val="clear" w:color="auto" w:fill="FFFFFF" w:themeFill="background1"/>
          </w:tcPr>
          <w:p w:rsidR="00574089" w:rsidRPr="004A09C8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A09C8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850" w:type="dxa"/>
            <w:shd w:val="clear" w:color="auto" w:fill="FFFFFF" w:themeFill="background1"/>
          </w:tcPr>
          <w:p w:rsidR="00574089" w:rsidRPr="004A09C8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4A09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shd w:val="clear" w:color="auto" w:fill="FFFFFF" w:themeFill="background1"/>
          </w:tcPr>
          <w:p w:rsidR="00574089" w:rsidRPr="004A09C8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A09C8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851" w:type="dxa"/>
            <w:shd w:val="clear" w:color="auto" w:fill="auto"/>
          </w:tcPr>
          <w:p w:rsidR="00574089" w:rsidRPr="00E923AD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74089" w:rsidRPr="00E923AD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74089" w:rsidRPr="00E923AD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574089" w:rsidRPr="00847236" w:rsidRDefault="00574089" w:rsidP="00DE551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253" w:type="dxa"/>
            <w:shd w:val="clear" w:color="auto" w:fill="FFFFFF" w:themeFill="background1"/>
          </w:tcPr>
          <w:p w:rsidR="00574089" w:rsidRPr="00847236" w:rsidRDefault="00574089" w:rsidP="00DE551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574089" w:rsidRPr="007437FF" w:rsidTr="00574089">
        <w:tc>
          <w:tcPr>
            <w:tcW w:w="2552" w:type="dxa"/>
            <w:shd w:val="clear" w:color="auto" w:fill="FFFFFF" w:themeFill="background1"/>
          </w:tcPr>
          <w:p w:rsidR="00574089" w:rsidRPr="007437FF" w:rsidRDefault="00574089" w:rsidP="00DE5514">
            <w:pPr>
              <w:pStyle w:val="af1"/>
              <w:rPr>
                <w:rFonts w:ascii="Times New Roman" w:hAnsi="Times New Roman" w:cs="Times New Roman"/>
              </w:rPr>
            </w:pPr>
            <w:r w:rsidRPr="007437FF">
              <w:rPr>
                <w:rFonts w:ascii="Times New Roman" w:hAnsi="Times New Roman" w:cs="Times New Roman"/>
              </w:rPr>
              <w:t>Вектор «</w:t>
            </w:r>
            <w:r w:rsidRPr="007437FF">
              <w:rPr>
                <w:rFonts w:ascii="Times New Roman" w:eastAsia="Calibri" w:hAnsi="Times New Roman" w:cs="Times New Roman"/>
                <w:lang w:eastAsia="en-US"/>
              </w:rPr>
              <w:t>Здравоохранение</w:t>
            </w:r>
            <w:r w:rsidRPr="007437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  <w:r w:rsidRPr="007437FF">
              <w:rPr>
                <w:rFonts w:ascii="Times" w:hAnsi="Times"/>
              </w:rPr>
              <w:t>75%</w:t>
            </w:r>
          </w:p>
        </w:tc>
        <w:tc>
          <w:tcPr>
            <w:tcW w:w="850" w:type="dxa"/>
            <w:shd w:val="clear" w:color="auto" w:fill="FFFFFF" w:themeFill="background1"/>
          </w:tcPr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  <w:r w:rsidRPr="007437FF">
              <w:rPr>
                <w:rFonts w:ascii="Times" w:hAnsi="Times"/>
              </w:rPr>
              <w:t>84%</w:t>
            </w:r>
          </w:p>
        </w:tc>
        <w:tc>
          <w:tcPr>
            <w:tcW w:w="1134" w:type="dxa"/>
            <w:shd w:val="clear" w:color="auto" w:fill="FFFFFF" w:themeFill="background1"/>
          </w:tcPr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  <w:r w:rsidRPr="007437FF">
              <w:rPr>
                <w:rFonts w:ascii="Times" w:hAnsi="Times"/>
              </w:rPr>
              <w:t>76%</w:t>
            </w:r>
          </w:p>
        </w:tc>
        <w:tc>
          <w:tcPr>
            <w:tcW w:w="851" w:type="dxa"/>
            <w:shd w:val="clear" w:color="auto" w:fill="FFFFFF" w:themeFill="background1"/>
          </w:tcPr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  <w:r w:rsidRPr="007437FF">
              <w:rPr>
                <w:rFonts w:ascii="Times" w:hAnsi="Times"/>
              </w:rPr>
              <w:t>н/д</w:t>
            </w:r>
          </w:p>
        </w:tc>
        <w:tc>
          <w:tcPr>
            <w:tcW w:w="1417" w:type="dxa"/>
            <w:shd w:val="clear" w:color="auto" w:fill="FFFFFF" w:themeFill="background1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  <w:r w:rsidRPr="007437FF">
              <w:rPr>
                <w:rFonts w:ascii="Times" w:hAnsi="Times"/>
              </w:rPr>
              <w:t>100%</w:t>
            </w:r>
          </w:p>
        </w:tc>
        <w:tc>
          <w:tcPr>
            <w:tcW w:w="4253" w:type="dxa"/>
            <w:shd w:val="clear" w:color="auto" w:fill="FFFFFF" w:themeFill="background1"/>
          </w:tcPr>
          <w:p w:rsidR="00574089" w:rsidRPr="007437FF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DC5B1A" w:rsidTr="00574089">
        <w:tc>
          <w:tcPr>
            <w:tcW w:w="2552" w:type="dxa"/>
          </w:tcPr>
          <w:p w:rsidR="00574089" w:rsidRPr="00385652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услугами здравоохранения, %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74,6%</w:t>
            </w: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49,37%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60%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-32,63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4253" w:type="dxa"/>
          </w:tcPr>
          <w:p w:rsidR="00574089" w:rsidRPr="00DC5B1A" w:rsidRDefault="00574089" w:rsidP="00DE5514">
            <w:pPr>
              <w:pStyle w:val="af0"/>
              <w:rPr>
                <w:rFonts w:ascii="Times" w:hAnsi="Times" w:cs="Times New Roman"/>
              </w:rPr>
            </w:pPr>
            <w:r w:rsidRPr="00DC5B1A">
              <w:rPr>
                <w:rFonts w:ascii="Times New Roman" w:hAnsi="Times New Roman" w:cs="Times New Roman"/>
              </w:rPr>
              <w:t>Фактическое значение определено на основе социологического опроса населения, проведенного МКУ «Наш город» в 2017 году</w:t>
            </w:r>
          </w:p>
        </w:tc>
      </w:tr>
      <w:tr w:rsidR="00574089" w:rsidRPr="00641BB1" w:rsidTr="00574089">
        <w:tc>
          <w:tcPr>
            <w:tcW w:w="2552" w:type="dxa"/>
          </w:tcPr>
          <w:p w:rsidR="00574089" w:rsidRDefault="00574089" w:rsidP="00DE551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Индекс</w:t>
            </w:r>
          </w:p>
          <w:p w:rsidR="00574089" w:rsidRPr="00385652" w:rsidRDefault="00574089" w:rsidP="00DE551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естественного прироста и продолжительности жизни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A12151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A12151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жизни, лет</w:t>
            </w:r>
          </w:p>
        </w:tc>
        <w:tc>
          <w:tcPr>
            <w:tcW w:w="113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100,7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0,7</w:t>
            </w:r>
          </w:p>
        </w:tc>
        <w:tc>
          <w:tcPr>
            <w:tcW w:w="198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A12151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A12151">
              <w:rPr>
                <w:rFonts w:ascii="Times New Roman" w:hAnsi="Times New Roman" w:cs="Times New Roman"/>
                <w:sz w:val="24"/>
                <w:szCs w:val="24"/>
              </w:rPr>
              <w:t>Рождаемость на 1000 населения, чел.</w:t>
            </w:r>
          </w:p>
        </w:tc>
        <w:tc>
          <w:tcPr>
            <w:tcW w:w="113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850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851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93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-7</w:t>
            </w:r>
          </w:p>
        </w:tc>
        <w:tc>
          <w:tcPr>
            <w:tcW w:w="198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385652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Смертность на 1000 населения, чел.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102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2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A12151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A12151">
              <w:rPr>
                <w:rFonts w:ascii="Times New Roman" w:hAnsi="Times New Roman" w:cs="Times New Roman"/>
                <w:sz w:val="24"/>
                <w:szCs w:val="24"/>
              </w:rPr>
              <w:t xml:space="preserve">Младенческая </w:t>
            </w:r>
            <w:r w:rsidRPr="00A1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смертность на 1000 родившихся живыми, чел.</w:t>
            </w:r>
          </w:p>
        </w:tc>
        <w:tc>
          <w:tcPr>
            <w:tcW w:w="113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3,3</w:t>
            </w:r>
          </w:p>
        </w:tc>
        <w:tc>
          <w:tcPr>
            <w:tcW w:w="850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5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lastRenderedPageBreak/>
              <w:t>-</w:t>
            </w:r>
          </w:p>
        </w:tc>
        <w:tc>
          <w:tcPr>
            <w:tcW w:w="198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5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CD7941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CD7941">
              <w:rPr>
                <w:rFonts w:ascii="Times New Roman" w:hAnsi="Times New Roman" w:cs="Times New Roman"/>
                <w:sz w:val="24"/>
                <w:szCs w:val="24"/>
              </w:rPr>
              <w:t>Индекс обеспеченности объектами здравоохранения</w:t>
            </w:r>
          </w:p>
        </w:tc>
        <w:tc>
          <w:tcPr>
            <w:tcW w:w="1134" w:type="dxa"/>
          </w:tcPr>
          <w:p w:rsidR="00574089" w:rsidRPr="00CD794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1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50" w:type="dxa"/>
          </w:tcPr>
          <w:p w:rsidR="00574089" w:rsidRPr="00CD794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D7941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</w:tcPr>
          <w:p w:rsidR="00574089" w:rsidRPr="00CD794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574089" w:rsidRPr="00CD794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D7941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17" w:type="dxa"/>
            <w:shd w:val="clear" w:color="auto" w:fill="FFFFFF" w:themeFill="background1"/>
          </w:tcPr>
          <w:p w:rsidR="00574089" w:rsidRPr="00CC4D77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77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  <w:tc>
          <w:tcPr>
            <w:tcW w:w="1418" w:type="dxa"/>
            <w:shd w:val="clear" w:color="auto" w:fill="FFFFFF" w:themeFill="background1"/>
          </w:tcPr>
          <w:p w:rsidR="00574089" w:rsidRPr="00CC4D77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7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84" w:type="dxa"/>
          </w:tcPr>
          <w:p w:rsidR="00574089" w:rsidRPr="00CD794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385652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Мощность амбулаторно-поликлинических медицинских организаций всех форм собственности, посещений в смену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9 116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8 322</w:t>
            </w:r>
          </w:p>
        </w:tc>
        <w:tc>
          <w:tcPr>
            <w:tcW w:w="1417" w:type="dxa"/>
          </w:tcPr>
          <w:p w:rsidR="00574089" w:rsidRPr="00CC4D77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77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74089" w:rsidRPr="00CC4D77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77">
              <w:rPr>
                <w:rFonts w:ascii="Times New Roman" w:hAnsi="Times New Roman" w:cs="Times New Roman"/>
                <w:sz w:val="24"/>
                <w:szCs w:val="24"/>
              </w:rPr>
              <w:t>-8,7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385652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Мощность стационарных медицинских организаций всех форм собственности, количество коек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3 351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3 302</w:t>
            </w:r>
          </w:p>
        </w:tc>
        <w:tc>
          <w:tcPr>
            <w:tcW w:w="1417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98,5%</w:t>
            </w:r>
          </w:p>
        </w:tc>
        <w:tc>
          <w:tcPr>
            <w:tcW w:w="1418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-1,5%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385652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дневных стационаров, количество </w:t>
            </w:r>
            <w:proofErr w:type="spellStart"/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пациенто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1417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385652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Индекс доступности медицинской помощи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5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574089" w:rsidRDefault="00574089" w:rsidP="005740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Время </w:t>
            </w:r>
            <w:proofErr w:type="spellStart"/>
            <w:r w:rsidRPr="0057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доезда</w:t>
            </w:r>
            <w:proofErr w:type="spellEnd"/>
            <w:r w:rsidRPr="0057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бригады скорой медицинской помощи по экстренному вызову в обслуживаемой территории, минут</w:t>
            </w:r>
          </w:p>
          <w:p w:rsidR="00574089" w:rsidRPr="00385652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rPr>
          <w:trHeight w:val="847"/>
        </w:trPr>
        <w:tc>
          <w:tcPr>
            <w:tcW w:w="2552" w:type="dxa"/>
            <w:vMerge w:val="restart"/>
          </w:tcPr>
          <w:p w:rsidR="00574089" w:rsidRPr="00574089" w:rsidRDefault="00574089" w:rsidP="00574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4.2. Обеспеченность населения врачами </w:t>
            </w:r>
          </w:p>
          <w:p w:rsidR="00574089" w:rsidRPr="00574089" w:rsidRDefault="00574089" w:rsidP="005740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средним медицинским персоналом в медицинских организациях государственной системы здравоохранения), на 10 тыс. населения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12151">
              <w:rPr>
                <w:rFonts w:ascii="Times New Roman" w:hAnsi="Times New Roman" w:cs="Times New Roman"/>
              </w:rPr>
              <w:t>66</w:t>
            </w:r>
          </w:p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34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851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417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  <w:vMerge/>
          </w:tcPr>
          <w:p w:rsidR="00574089" w:rsidRPr="00574089" w:rsidRDefault="00574089" w:rsidP="005740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51">
              <w:rPr>
                <w:rFonts w:ascii="Times New Roman" w:hAnsi="Times New Roman" w:cs="Times New Roman"/>
                <w:sz w:val="24"/>
                <w:szCs w:val="24"/>
              </w:rPr>
              <w:t>163,4</w:t>
            </w:r>
          </w:p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1417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574089" w:rsidRPr="003021DD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DD"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574089" w:rsidRDefault="00574089" w:rsidP="005740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Удельный вес выделенных федеральных квот для получения специализированной помощи, в том числе высокотехнологичной медицинской помощи населению в учреждениях здравоохранения, расположенных на территории города Сургута,%</w:t>
            </w:r>
          </w:p>
        </w:tc>
        <w:tc>
          <w:tcPr>
            <w:tcW w:w="1134" w:type="dxa"/>
          </w:tcPr>
          <w:p w:rsidR="00574089" w:rsidRPr="00A12151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  <w:tr w:rsidR="00574089" w:rsidRPr="00641BB1" w:rsidTr="00574089">
        <w:tc>
          <w:tcPr>
            <w:tcW w:w="2552" w:type="dxa"/>
          </w:tcPr>
          <w:p w:rsidR="00574089" w:rsidRPr="00385652" w:rsidRDefault="00574089" w:rsidP="00DE55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города, в общей структуре пациентов, которым была оказана высокотехнологичная медицинская помощь в медицинских организациях государственной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здравоохранения, расположенных на территории города Сургута,% 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н/д</w:t>
            </w:r>
          </w:p>
        </w:tc>
        <w:tc>
          <w:tcPr>
            <w:tcW w:w="850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49,6%</w:t>
            </w:r>
          </w:p>
        </w:tc>
        <w:tc>
          <w:tcPr>
            <w:tcW w:w="113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е менее 34%</w:t>
            </w:r>
          </w:p>
        </w:tc>
        <w:tc>
          <w:tcPr>
            <w:tcW w:w="851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417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  <w:p w:rsidR="00574089" w:rsidRPr="007437FF" w:rsidRDefault="00574089" w:rsidP="00DE5514">
            <w:pPr>
              <w:jc w:val="center"/>
              <w:rPr>
                <w:rFonts w:ascii="Times" w:hAnsi="Times"/>
              </w:rPr>
            </w:pPr>
          </w:p>
        </w:tc>
        <w:tc>
          <w:tcPr>
            <w:tcW w:w="1418" w:type="dxa"/>
          </w:tcPr>
          <w:p w:rsidR="00574089" w:rsidRPr="007437FF" w:rsidRDefault="00574089" w:rsidP="00DE5514">
            <w:pPr>
              <w:pStyle w:val="af0"/>
              <w:jc w:val="center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</w:t>
            </w:r>
          </w:p>
        </w:tc>
        <w:tc>
          <w:tcPr>
            <w:tcW w:w="1984" w:type="dxa"/>
          </w:tcPr>
          <w:p w:rsidR="00574089" w:rsidRPr="00385652" w:rsidRDefault="00574089" w:rsidP="00DE551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34</w:t>
            </w:r>
            <w:r w:rsidRPr="003856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3" w:type="dxa"/>
          </w:tcPr>
          <w:p w:rsidR="00574089" w:rsidRPr="00641BB1" w:rsidRDefault="00574089" w:rsidP="00DE5514">
            <w:pPr>
              <w:pStyle w:val="af0"/>
              <w:rPr>
                <w:rFonts w:ascii="Times" w:hAnsi="Times" w:cs="Times New Roman"/>
              </w:rPr>
            </w:pPr>
          </w:p>
        </w:tc>
      </w:tr>
    </w:tbl>
    <w:p w:rsidR="001E2B32" w:rsidRDefault="001E2B32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2B32" w:rsidRDefault="001E2B32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6256" w:rsidRPr="00AA6256" w:rsidRDefault="00AA6256" w:rsidP="00AA62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AA6256">
        <w:rPr>
          <w:rFonts w:ascii="Times New Roman" w:hAnsi="Times New Roman" w:cs="Times New Roman"/>
          <w:sz w:val="28"/>
          <w:szCs w:val="28"/>
        </w:rPr>
        <w:t xml:space="preserve"> к отчету</w:t>
      </w:r>
    </w:p>
    <w:p w:rsidR="00574089" w:rsidRDefault="00574089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2B32" w:rsidRDefault="001E2B32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50A" w:rsidRPr="00937C30" w:rsidRDefault="00DC150A" w:rsidP="00DC15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C30">
        <w:rPr>
          <w:rFonts w:ascii="Times New Roman" w:hAnsi="Times New Roman" w:cs="Times New Roman"/>
          <w:sz w:val="28"/>
          <w:szCs w:val="28"/>
        </w:rPr>
        <w:t>Показатели реализации плана мероприятий по реализации Стратегии социально-экономического развития муниципального образования городской округ город Сургут по вектору 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DC150A" w:rsidRDefault="00DC150A" w:rsidP="00DC150A">
      <w:pPr>
        <w:pStyle w:val="ConsPlusNormal"/>
        <w:ind w:left="1132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37C30">
        <w:rPr>
          <w:rFonts w:ascii="Times New Roman" w:hAnsi="Times New Roman" w:cs="Times New Roman"/>
          <w:sz w:val="24"/>
          <w:szCs w:val="24"/>
        </w:rPr>
        <w:t>Таб.2</w:t>
      </w: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005"/>
        <w:gridCol w:w="2005"/>
        <w:gridCol w:w="1733"/>
        <w:gridCol w:w="1365"/>
        <w:gridCol w:w="2106"/>
        <w:gridCol w:w="3969"/>
      </w:tblGrid>
      <w:tr w:rsidR="00390EC2" w:rsidTr="00390EC2">
        <w:trPr>
          <w:trHeight w:val="551"/>
        </w:trPr>
        <w:tc>
          <w:tcPr>
            <w:tcW w:w="2523" w:type="dxa"/>
            <w:vMerge w:val="restart"/>
          </w:tcPr>
          <w:p w:rsidR="00390EC2" w:rsidRPr="005131C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1C6">
              <w:rPr>
                <w:rFonts w:ascii="Times New Roman" w:hAnsi="Times New Roman" w:cs="Times New Roman"/>
                <w:sz w:val="20"/>
              </w:rPr>
              <w:t>Наименование проекта (мероприятия), инвестиционного проекта в соответствии с утвержденным планом мероприятий по реализации Стратегии 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005" w:type="dxa"/>
            <w:vMerge w:val="restart"/>
          </w:tcPr>
          <w:p w:rsidR="00390EC2" w:rsidRPr="005131C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1C6">
              <w:rPr>
                <w:rFonts w:ascii="Times New Roman" w:hAnsi="Times New Roman" w:cs="Times New Roman"/>
                <w:sz w:val="20"/>
              </w:rPr>
              <w:t>Сроки реализации проекта (мероприятия, инвестиционного проекта) в соответствии с утвержденным планом мероприятий по реализации Стратегии 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005" w:type="dxa"/>
            <w:vMerge w:val="restart"/>
          </w:tcPr>
          <w:p w:rsidR="00390EC2" w:rsidRPr="005131C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1C6">
              <w:rPr>
                <w:rFonts w:ascii="Times New Roman" w:hAnsi="Times New Roman" w:cs="Times New Roman"/>
                <w:sz w:val="20"/>
              </w:rPr>
              <w:t>Фактические сроки реализации проекта (мероприятия, инвестиционного проекта)</w:t>
            </w:r>
          </w:p>
        </w:tc>
        <w:tc>
          <w:tcPr>
            <w:tcW w:w="1733" w:type="dxa"/>
            <w:vMerge w:val="restart"/>
          </w:tcPr>
          <w:p w:rsidR="00390EC2" w:rsidRPr="005131C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1C6">
              <w:rPr>
                <w:rFonts w:ascii="Times New Roman" w:hAnsi="Times New Roman" w:cs="Times New Roman"/>
                <w:sz w:val="20"/>
              </w:rPr>
              <w:t>Исполнение в отчетном году</w:t>
            </w:r>
          </w:p>
          <w:p w:rsidR="00390EC2" w:rsidRPr="005131C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1C6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3471" w:type="dxa"/>
            <w:gridSpan w:val="2"/>
          </w:tcPr>
          <w:p w:rsidR="00390EC2" w:rsidRPr="005131C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1C6">
              <w:rPr>
                <w:rFonts w:ascii="Times New Roman" w:hAnsi="Times New Roman" w:cs="Times New Roman"/>
                <w:sz w:val="20"/>
              </w:rPr>
              <w:t>В том числе по источникам финансового обеспечения</w:t>
            </w:r>
          </w:p>
        </w:tc>
        <w:tc>
          <w:tcPr>
            <w:tcW w:w="3969" w:type="dxa"/>
            <w:vMerge w:val="restart"/>
          </w:tcPr>
          <w:p w:rsidR="00390EC2" w:rsidRPr="005131C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1C6">
              <w:rPr>
                <w:rFonts w:ascii="Times New Roman" w:hAnsi="Times New Roman" w:cs="Times New Roman"/>
                <w:sz w:val="20"/>
              </w:rPr>
              <w:t>Информация об исполнении (внутренние и внешние условия, повлиявшие на уровень реализации)</w:t>
            </w:r>
          </w:p>
        </w:tc>
      </w:tr>
      <w:tr w:rsidR="00390EC2" w:rsidTr="00390EC2">
        <w:tc>
          <w:tcPr>
            <w:tcW w:w="2523" w:type="dxa"/>
            <w:vMerge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0EC2" w:rsidRPr="005131C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1C6">
              <w:rPr>
                <w:rFonts w:ascii="Times New Roman" w:hAnsi="Times New Roman" w:cs="Times New Roman"/>
                <w:sz w:val="20"/>
              </w:rPr>
              <w:t xml:space="preserve">бюджет </w:t>
            </w:r>
          </w:p>
        </w:tc>
        <w:tc>
          <w:tcPr>
            <w:tcW w:w="2106" w:type="dxa"/>
          </w:tcPr>
          <w:p w:rsidR="00390EC2" w:rsidRPr="005131C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31C6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3969" w:type="dxa"/>
            <w:vMerge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C2" w:rsidTr="00390EC2">
        <w:tc>
          <w:tcPr>
            <w:tcW w:w="15706" w:type="dxa"/>
            <w:gridSpan w:val="7"/>
          </w:tcPr>
          <w:p w:rsidR="00390EC2" w:rsidRDefault="00663A3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«Человеческий потенциал»</w:t>
            </w:r>
          </w:p>
        </w:tc>
      </w:tr>
      <w:tr w:rsidR="00390EC2" w:rsidTr="00390EC2">
        <w:tc>
          <w:tcPr>
            <w:tcW w:w="15706" w:type="dxa"/>
            <w:gridSpan w:val="7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Вектор </w:t>
            </w:r>
            <w:r w:rsidR="00663A32">
              <w:rPr>
                <w:rFonts w:ascii="Times New Roman" w:hAnsi="Times New Roman" w:cs="Times New Roman"/>
                <w:sz w:val="24"/>
                <w:szCs w:val="24"/>
              </w:rPr>
              <w:t>«Здравоохранение»</w:t>
            </w:r>
            <w:bookmarkStart w:id="0" w:name="_GoBack"/>
            <w:bookmarkEnd w:id="0"/>
          </w:p>
        </w:tc>
      </w:tr>
      <w:tr w:rsidR="00390EC2" w:rsidTr="00390EC2">
        <w:tc>
          <w:tcPr>
            <w:tcW w:w="2523" w:type="dxa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 Жилой микрорайон нефтяников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 микрорайон 37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2.2.2.1.1.1. строительство поликлиники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733" w:type="dxa"/>
          </w:tcPr>
          <w:p w:rsidR="00390EC2" w:rsidRPr="00BD523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36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365" w:type="dxa"/>
          </w:tcPr>
          <w:p w:rsidR="00390EC2" w:rsidRPr="00BD523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36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106" w:type="dxa"/>
          </w:tcPr>
          <w:p w:rsidR="00390EC2" w:rsidRDefault="00390EC2" w:rsidP="00621BA7">
            <w:pPr>
              <w:jc w:val="center"/>
            </w:pPr>
            <w:r w:rsidRPr="0087724F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3969" w:type="dxa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Завершено строительство, объект введен в эксплуатацию в марте 2017 года, после получения лицензии на осуществление медицинской деятельности</w:t>
            </w:r>
          </w:p>
        </w:tc>
      </w:tr>
      <w:tr w:rsidR="00390EC2" w:rsidTr="00390EC2">
        <w:tc>
          <w:tcPr>
            <w:tcW w:w="2523" w:type="dxa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2.2.2.2.Микрорайон 5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2.2.2.2.1.1. Операционно-реанимационный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корпус БУ ХМАО-Югры «Окружной кардиологический диспансер «Центр диагностики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хирургии»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733" w:type="dxa"/>
          </w:tcPr>
          <w:p w:rsidR="00390EC2" w:rsidRPr="00BD523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36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365" w:type="dxa"/>
          </w:tcPr>
          <w:p w:rsidR="00390EC2" w:rsidRPr="00BD523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36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106" w:type="dxa"/>
          </w:tcPr>
          <w:p w:rsidR="00390EC2" w:rsidRDefault="00390EC2" w:rsidP="00621BA7">
            <w:pPr>
              <w:jc w:val="center"/>
            </w:pPr>
            <w:r w:rsidRPr="0087724F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3969" w:type="dxa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Завершено строительство, объект введен в эксплуатацию в апреле 2017 года</w:t>
            </w:r>
          </w:p>
        </w:tc>
      </w:tr>
      <w:tr w:rsidR="00390EC2" w:rsidTr="00390EC2">
        <w:tc>
          <w:tcPr>
            <w:tcW w:w="2523" w:type="dxa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2.2.3.2. ЦЖ5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2.2.3.2.1.1. Реконструкция консультативно-диагностической поликлиники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окружной клинической больницы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733" w:type="dxa"/>
          </w:tcPr>
          <w:p w:rsidR="00390EC2" w:rsidRPr="00BD523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36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365" w:type="dxa"/>
          </w:tcPr>
          <w:p w:rsidR="00390EC2" w:rsidRPr="00BD5236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36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106" w:type="dxa"/>
          </w:tcPr>
          <w:p w:rsidR="00390EC2" w:rsidRDefault="00390EC2" w:rsidP="00621BA7">
            <w:pPr>
              <w:jc w:val="center"/>
            </w:pPr>
            <w:r w:rsidRPr="0087724F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3969" w:type="dxa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236">
              <w:rPr>
                <w:rFonts w:ascii="Times New Roman" w:hAnsi="Times New Roman" w:cs="Times New Roman"/>
                <w:sz w:val="24"/>
                <w:szCs w:val="24"/>
              </w:rPr>
              <w:t>Продолжается реконструкция</w:t>
            </w:r>
          </w:p>
        </w:tc>
      </w:tr>
      <w:tr w:rsidR="00390EC2" w:rsidTr="00390EC2">
        <w:tc>
          <w:tcPr>
            <w:tcW w:w="2523" w:type="dxa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2.2.5.2.Микрорайон 31А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2.2.5.2.1.1.Строительство больничного комплекса: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2.2.5.2.1.1.1.Перинатальный центр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охраны материнства и детства)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2015-2029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733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365" w:type="dxa"/>
          </w:tcPr>
          <w:p w:rsidR="00390EC2" w:rsidRDefault="00390EC2" w:rsidP="00621BA7">
            <w:pPr>
              <w:jc w:val="center"/>
            </w:pPr>
            <w:r w:rsidRPr="00B177F3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2106" w:type="dxa"/>
          </w:tcPr>
          <w:p w:rsidR="00390EC2" w:rsidRDefault="00390EC2" w:rsidP="00621BA7">
            <w:pPr>
              <w:jc w:val="center"/>
            </w:pPr>
            <w:r w:rsidRPr="00B177F3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3969" w:type="dxa"/>
          </w:tcPr>
          <w:p w:rsidR="00390EC2" w:rsidRPr="00AC0610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0610">
              <w:rPr>
                <w:rFonts w:ascii="Times New Roman" w:hAnsi="Times New Roman" w:cs="Times New Roman"/>
                <w:sz w:val="24"/>
                <w:szCs w:val="24"/>
              </w:rPr>
              <w:t>Продолжается строительство.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сдачи объекта в эксплуатацию – 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2018 года.</w:t>
            </w:r>
          </w:p>
        </w:tc>
      </w:tr>
      <w:tr w:rsidR="00390EC2" w:rsidTr="00390EC2">
        <w:trPr>
          <w:trHeight w:val="1696"/>
        </w:trPr>
        <w:tc>
          <w:tcPr>
            <w:tcW w:w="2523" w:type="dxa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 Южный планировочный район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2.2.8.1.1.1. Реконструкция геронтологического центра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33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365" w:type="dxa"/>
          </w:tcPr>
          <w:p w:rsidR="00390EC2" w:rsidRDefault="00390EC2" w:rsidP="00621BA7">
            <w:pPr>
              <w:jc w:val="center"/>
            </w:pPr>
            <w:r w:rsidRPr="00B177F3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2106" w:type="dxa"/>
          </w:tcPr>
          <w:p w:rsidR="00390EC2" w:rsidRDefault="00390EC2" w:rsidP="00621BA7">
            <w:pPr>
              <w:jc w:val="center"/>
            </w:pPr>
            <w:r w:rsidRPr="00B177F3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3969" w:type="dxa"/>
          </w:tcPr>
          <w:p w:rsidR="00390EC2" w:rsidRPr="006C105F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2016 года осуществляется реконструкция пятиэтажного здания геронтологического центра под жилые помещения</w:t>
            </w:r>
          </w:p>
        </w:tc>
      </w:tr>
      <w:tr w:rsidR="00390EC2" w:rsidTr="00390EC2">
        <w:tc>
          <w:tcPr>
            <w:tcW w:w="2523" w:type="dxa"/>
          </w:tcPr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2.2.9.Открытие 8 офисов врачей во встроенно-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пристроенных помещениях первых этажей жилых зданий в микрорайонах 20А, 27, 28, 30, 31, 32, 39,40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2015-2017</w:t>
            </w:r>
          </w:p>
        </w:tc>
        <w:tc>
          <w:tcPr>
            <w:tcW w:w="2005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733" w:type="dxa"/>
          </w:tcPr>
          <w:p w:rsidR="00390EC2" w:rsidRDefault="00390EC2" w:rsidP="00621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1365" w:type="dxa"/>
          </w:tcPr>
          <w:p w:rsidR="00390EC2" w:rsidRDefault="00390EC2" w:rsidP="00621BA7">
            <w:pPr>
              <w:jc w:val="center"/>
            </w:pPr>
            <w:r w:rsidRPr="00B177F3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2106" w:type="dxa"/>
          </w:tcPr>
          <w:p w:rsidR="00390EC2" w:rsidRDefault="00390EC2" w:rsidP="00621BA7">
            <w:pPr>
              <w:jc w:val="center"/>
            </w:pPr>
            <w:r w:rsidRPr="00B177F3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3969" w:type="dxa"/>
          </w:tcPr>
          <w:p w:rsidR="00390EC2" w:rsidRPr="006C105F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 году о</w:t>
            </w:r>
            <w:r w:rsidRPr="006C105F">
              <w:rPr>
                <w:rFonts w:ascii="Times New Roman" w:hAnsi="Times New Roman" w:cs="Times New Roman"/>
                <w:sz w:val="24"/>
                <w:szCs w:val="24"/>
              </w:rPr>
              <w:t>ткрыт офис врачей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мкр.</w:t>
            </w:r>
            <w:r w:rsidRPr="006C10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EC2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05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2 помещения для </w:t>
            </w:r>
            <w:r w:rsidRPr="006C1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размещения офисов врачей по адресу: </w:t>
            </w:r>
            <w:proofErr w:type="spellStart"/>
            <w:r w:rsidRPr="006C10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C10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C105F">
              <w:rPr>
                <w:rFonts w:ascii="Times New Roman" w:hAnsi="Times New Roman" w:cs="Times New Roman"/>
                <w:sz w:val="24"/>
                <w:szCs w:val="24"/>
              </w:rPr>
              <w:t>ургут</w:t>
            </w:r>
            <w:proofErr w:type="spellEnd"/>
            <w:r w:rsidRPr="006C105F">
              <w:rPr>
                <w:rFonts w:ascii="Times New Roman" w:hAnsi="Times New Roman" w:cs="Times New Roman"/>
                <w:sz w:val="24"/>
                <w:szCs w:val="24"/>
              </w:rPr>
              <w:t>, ул. Крылова, д.38 общей площадью 437,1м2</w:t>
            </w:r>
          </w:p>
          <w:p w:rsidR="00390EC2" w:rsidRPr="00F878E0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п</w:t>
            </w:r>
            <w:r w:rsidRPr="00F878E0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риобретены 4 помещения для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филиалов поликлиник</w:t>
            </w:r>
            <w:r w:rsidRPr="00F878E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8E0"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ул. </w:t>
            </w:r>
            <w:proofErr w:type="spellStart"/>
            <w:r w:rsidRPr="00F878E0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F878E0">
              <w:rPr>
                <w:rFonts w:ascii="Times New Roman" w:hAnsi="Times New Roman" w:cs="Times New Roman"/>
                <w:sz w:val="24"/>
                <w:szCs w:val="24"/>
              </w:rPr>
              <w:t xml:space="preserve"> д.4 общей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F878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87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390EC2" w:rsidRPr="006C105F" w:rsidRDefault="00390EC2" w:rsidP="00621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</w:t>
            </w:r>
            <w:r w:rsidRPr="00F878E0">
              <w:rPr>
                <w:rFonts w:ascii="Times New Roman" w:hAnsi="Times New Roman" w:cs="Times New Roman"/>
                <w:sz w:val="24"/>
                <w:szCs w:val="24"/>
              </w:rPr>
              <w:t xml:space="preserve"> ул. Университетская д.19 общей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750 </w:t>
            </w:r>
            <w:r w:rsidRPr="00F878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878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390EC2" w:rsidRDefault="00390EC2" w:rsidP="00390EC2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90EC2" w:rsidRDefault="00390EC2" w:rsidP="00390EC2">
      <w:pPr>
        <w:pStyle w:val="1"/>
        <w:spacing w:before="0" w:after="0"/>
        <w:ind w:right="-315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90EC2" w:rsidRDefault="00390EC2" w:rsidP="00390EC2">
      <w:pPr>
        <w:pStyle w:val="1"/>
        <w:spacing w:before="0" w:after="0"/>
        <w:ind w:right="-315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90EC2" w:rsidRDefault="00390EC2" w:rsidP="00390EC2">
      <w:pPr>
        <w:pStyle w:val="1"/>
        <w:spacing w:before="0" w:after="0"/>
        <w:ind w:right="-315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90EC2" w:rsidRDefault="00390EC2" w:rsidP="00390EC2">
      <w:pPr>
        <w:pStyle w:val="1"/>
        <w:spacing w:before="0" w:after="0"/>
        <w:ind w:right="-315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90EC2" w:rsidRDefault="00390EC2" w:rsidP="00390EC2">
      <w:pPr>
        <w:pStyle w:val="1"/>
        <w:spacing w:before="0" w:after="0"/>
        <w:ind w:right="-315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390EC2" w:rsidRDefault="00390EC2" w:rsidP="00390EC2">
      <w:pPr>
        <w:pStyle w:val="1"/>
        <w:spacing w:before="0" w:after="0"/>
        <w:ind w:right="-315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C150A" w:rsidRDefault="00DC150A" w:rsidP="00937C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C150A" w:rsidSect="00385652">
      <w:pgSz w:w="16838" w:h="11906" w:orient="landscape"/>
      <w:pgMar w:top="567" w:right="85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97" w:rsidRDefault="002D4A97" w:rsidP="00C54C10">
      <w:pPr>
        <w:spacing w:after="0" w:line="240" w:lineRule="auto"/>
      </w:pPr>
      <w:r>
        <w:separator/>
      </w:r>
    </w:p>
  </w:endnote>
  <w:endnote w:type="continuationSeparator" w:id="0">
    <w:p w:rsidR="002D4A97" w:rsidRDefault="002D4A97" w:rsidP="00C5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097586"/>
      <w:docPartObj>
        <w:docPartGallery w:val="Page Numbers (Bottom of Page)"/>
        <w:docPartUnique/>
      </w:docPartObj>
    </w:sdtPr>
    <w:sdtEndPr/>
    <w:sdtContent>
      <w:p w:rsidR="00D07FA5" w:rsidRDefault="00D07F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A32">
          <w:rPr>
            <w:noProof/>
          </w:rPr>
          <w:t>7</w:t>
        </w:r>
        <w:r>
          <w:fldChar w:fldCharType="end"/>
        </w:r>
      </w:p>
    </w:sdtContent>
  </w:sdt>
  <w:p w:rsidR="00D07FA5" w:rsidRDefault="00D07F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97" w:rsidRDefault="002D4A97" w:rsidP="00C54C10">
      <w:pPr>
        <w:spacing w:after="0" w:line="240" w:lineRule="auto"/>
      </w:pPr>
      <w:r>
        <w:separator/>
      </w:r>
    </w:p>
  </w:footnote>
  <w:footnote w:type="continuationSeparator" w:id="0">
    <w:p w:rsidR="002D4A97" w:rsidRDefault="002D4A97" w:rsidP="00C5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5767"/>
    <w:multiLevelType w:val="hybridMultilevel"/>
    <w:tmpl w:val="A8A44C16"/>
    <w:lvl w:ilvl="0" w:tplc="FA844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0684"/>
    <w:multiLevelType w:val="hybridMultilevel"/>
    <w:tmpl w:val="CB3C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1644"/>
    <w:multiLevelType w:val="hybridMultilevel"/>
    <w:tmpl w:val="B5B46A84"/>
    <w:lvl w:ilvl="0" w:tplc="FA844F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ED30D4"/>
    <w:multiLevelType w:val="multilevel"/>
    <w:tmpl w:val="DC58B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B83BDB"/>
    <w:multiLevelType w:val="hybridMultilevel"/>
    <w:tmpl w:val="B992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53CA3"/>
    <w:multiLevelType w:val="hybridMultilevel"/>
    <w:tmpl w:val="3820B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04B0"/>
    <w:multiLevelType w:val="multilevel"/>
    <w:tmpl w:val="10167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12D2037"/>
    <w:multiLevelType w:val="hybridMultilevel"/>
    <w:tmpl w:val="FF109B48"/>
    <w:lvl w:ilvl="0" w:tplc="0D2CCAF0">
      <w:start w:val="1"/>
      <w:numFmt w:val="decimal"/>
      <w:lvlText w:val="%1."/>
      <w:lvlJc w:val="left"/>
      <w:pPr>
        <w:ind w:left="1569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8">
    <w:nsid w:val="512128CB"/>
    <w:multiLevelType w:val="hybridMultilevel"/>
    <w:tmpl w:val="8186654C"/>
    <w:lvl w:ilvl="0" w:tplc="FA844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D712E"/>
    <w:multiLevelType w:val="hybridMultilevel"/>
    <w:tmpl w:val="BB24D1CA"/>
    <w:lvl w:ilvl="0" w:tplc="AD4250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782576CB"/>
    <w:multiLevelType w:val="hybridMultilevel"/>
    <w:tmpl w:val="3896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14"/>
    <w:rsid w:val="0000265F"/>
    <w:rsid w:val="00014377"/>
    <w:rsid w:val="000410F3"/>
    <w:rsid w:val="000422E7"/>
    <w:rsid w:val="00044AFD"/>
    <w:rsid w:val="0005722B"/>
    <w:rsid w:val="00065149"/>
    <w:rsid w:val="00082BE2"/>
    <w:rsid w:val="00084327"/>
    <w:rsid w:val="00090D80"/>
    <w:rsid w:val="000A3FB6"/>
    <w:rsid w:val="000B2F99"/>
    <w:rsid w:val="000B483A"/>
    <w:rsid w:val="000D17F7"/>
    <w:rsid w:val="000E32C8"/>
    <w:rsid w:val="000E4C1F"/>
    <w:rsid w:val="000F09AE"/>
    <w:rsid w:val="000F2C6D"/>
    <w:rsid w:val="000F3EE9"/>
    <w:rsid w:val="001006C0"/>
    <w:rsid w:val="00101D13"/>
    <w:rsid w:val="00102EEA"/>
    <w:rsid w:val="00114751"/>
    <w:rsid w:val="00125081"/>
    <w:rsid w:val="001421AC"/>
    <w:rsid w:val="00155F66"/>
    <w:rsid w:val="001579CF"/>
    <w:rsid w:val="00164642"/>
    <w:rsid w:val="001746BD"/>
    <w:rsid w:val="00174C9A"/>
    <w:rsid w:val="00175C5A"/>
    <w:rsid w:val="00182493"/>
    <w:rsid w:val="00184064"/>
    <w:rsid w:val="00196204"/>
    <w:rsid w:val="001C1B0A"/>
    <w:rsid w:val="001C2555"/>
    <w:rsid w:val="001D23C4"/>
    <w:rsid w:val="001E2B32"/>
    <w:rsid w:val="001E3193"/>
    <w:rsid w:val="001F4B0F"/>
    <w:rsid w:val="00204DED"/>
    <w:rsid w:val="00206326"/>
    <w:rsid w:val="00213611"/>
    <w:rsid w:val="00221B10"/>
    <w:rsid w:val="00253191"/>
    <w:rsid w:val="002537CC"/>
    <w:rsid w:val="00254730"/>
    <w:rsid w:val="00254B35"/>
    <w:rsid w:val="00261716"/>
    <w:rsid w:val="00270542"/>
    <w:rsid w:val="002776DA"/>
    <w:rsid w:val="00285416"/>
    <w:rsid w:val="00291C6F"/>
    <w:rsid w:val="00295B63"/>
    <w:rsid w:val="002A3D16"/>
    <w:rsid w:val="002A6C70"/>
    <w:rsid w:val="002B1849"/>
    <w:rsid w:val="002B55CA"/>
    <w:rsid w:val="002B7236"/>
    <w:rsid w:val="002D1BE1"/>
    <w:rsid w:val="002D4A97"/>
    <w:rsid w:val="002E09DE"/>
    <w:rsid w:val="003035EA"/>
    <w:rsid w:val="003041DC"/>
    <w:rsid w:val="00306C8F"/>
    <w:rsid w:val="003125CE"/>
    <w:rsid w:val="00321410"/>
    <w:rsid w:val="003325B8"/>
    <w:rsid w:val="003347D2"/>
    <w:rsid w:val="003438B3"/>
    <w:rsid w:val="00361F53"/>
    <w:rsid w:val="0036432F"/>
    <w:rsid w:val="00385652"/>
    <w:rsid w:val="00390EC2"/>
    <w:rsid w:val="003A4710"/>
    <w:rsid w:val="003A4FC6"/>
    <w:rsid w:val="003A6748"/>
    <w:rsid w:val="003B0142"/>
    <w:rsid w:val="003C71F3"/>
    <w:rsid w:val="003D6DC1"/>
    <w:rsid w:val="0040351A"/>
    <w:rsid w:val="00416BD9"/>
    <w:rsid w:val="004275AE"/>
    <w:rsid w:val="0043129C"/>
    <w:rsid w:val="00431C70"/>
    <w:rsid w:val="0043642F"/>
    <w:rsid w:val="004432EB"/>
    <w:rsid w:val="004472B8"/>
    <w:rsid w:val="00457488"/>
    <w:rsid w:val="004747CE"/>
    <w:rsid w:val="00480607"/>
    <w:rsid w:val="004A1134"/>
    <w:rsid w:val="004A73FC"/>
    <w:rsid w:val="004B61D1"/>
    <w:rsid w:val="004D0419"/>
    <w:rsid w:val="004D0849"/>
    <w:rsid w:val="004D2A08"/>
    <w:rsid w:val="004D2F31"/>
    <w:rsid w:val="004D37C9"/>
    <w:rsid w:val="004F5FD5"/>
    <w:rsid w:val="004F7BEA"/>
    <w:rsid w:val="00502E40"/>
    <w:rsid w:val="00512437"/>
    <w:rsid w:val="00515ADA"/>
    <w:rsid w:val="00517C2F"/>
    <w:rsid w:val="005209DB"/>
    <w:rsid w:val="00524692"/>
    <w:rsid w:val="00525F92"/>
    <w:rsid w:val="005279A7"/>
    <w:rsid w:val="00545022"/>
    <w:rsid w:val="005461BD"/>
    <w:rsid w:val="00560489"/>
    <w:rsid w:val="00567A32"/>
    <w:rsid w:val="00574089"/>
    <w:rsid w:val="00581D34"/>
    <w:rsid w:val="00590ACD"/>
    <w:rsid w:val="00595764"/>
    <w:rsid w:val="005A1489"/>
    <w:rsid w:val="005A56F4"/>
    <w:rsid w:val="005B1339"/>
    <w:rsid w:val="005B7C32"/>
    <w:rsid w:val="005D7035"/>
    <w:rsid w:val="005E1C83"/>
    <w:rsid w:val="005F2ACF"/>
    <w:rsid w:val="00602EFD"/>
    <w:rsid w:val="0060663D"/>
    <w:rsid w:val="00612E69"/>
    <w:rsid w:val="00620CB3"/>
    <w:rsid w:val="00626E16"/>
    <w:rsid w:val="00640BE9"/>
    <w:rsid w:val="00641B00"/>
    <w:rsid w:val="00650E91"/>
    <w:rsid w:val="00656852"/>
    <w:rsid w:val="00663A32"/>
    <w:rsid w:val="006665BA"/>
    <w:rsid w:val="006668B0"/>
    <w:rsid w:val="0067265B"/>
    <w:rsid w:val="00684CD3"/>
    <w:rsid w:val="00691042"/>
    <w:rsid w:val="006A7936"/>
    <w:rsid w:val="006B36B7"/>
    <w:rsid w:val="006B7D3F"/>
    <w:rsid w:val="006C1143"/>
    <w:rsid w:val="006C56FE"/>
    <w:rsid w:val="006D5A91"/>
    <w:rsid w:val="006E1206"/>
    <w:rsid w:val="006E1883"/>
    <w:rsid w:val="00701F14"/>
    <w:rsid w:val="00712E4A"/>
    <w:rsid w:val="00727225"/>
    <w:rsid w:val="00732A2F"/>
    <w:rsid w:val="0074258A"/>
    <w:rsid w:val="00755D1E"/>
    <w:rsid w:val="00763003"/>
    <w:rsid w:val="00764856"/>
    <w:rsid w:val="007A11B5"/>
    <w:rsid w:val="007C60CD"/>
    <w:rsid w:val="007C64FE"/>
    <w:rsid w:val="007D1EC1"/>
    <w:rsid w:val="007E38DC"/>
    <w:rsid w:val="007F0734"/>
    <w:rsid w:val="007F1BAF"/>
    <w:rsid w:val="00807701"/>
    <w:rsid w:val="00820E75"/>
    <w:rsid w:val="00825E53"/>
    <w:rsid w:val="00826F80"/>
    <w:rsid w:val="008312B6"/>
    <w:rsid w:val="00836070"/>
    <w:rsid w:val="0083686C"/>
    <w:rsid w:val="00850C74"/>
    <w:rsid w:val="0085154C"/>
    <w:rsid w:val="00855212"/>
    <w:rsid w:val="00856E01"/>
    <w:rsid w:val="00861ECC"/>
    <w:rsid w:val="00877147"/>
    <w:rsid w:val="008772CE"/>
    <w:rsid w:val="00877B4C"/>
    <w:rsid w:val="008974AE"/>
    <w:rsid w:val="008A4948"/>
    <w:rsid w:val="008B2546"/>
    <w:rsid w:val="008B4DAD"/>
    <w:rsid w:val="008D5E69"/>
    <w:rsid w:val="008F0A71"/>
    <w:rsid w:val="008F4293"/>
    <w:rsid w:val="00904C65"/>
    <w:rsid w:val="00931046"/>
    <w:rsid w:val="009372EB"/>
    <w:rsid w:val="00937C30"/>
    <w:rsid w:val="009405D9"/>
    <w:rsid w:val="00950218"/>
    <w:rsid w:val="0095459B"/>
    <w:rsid w:val="00961325"/>
    <w:rsid w:val="00964EC4"/>
    <w:rsid w:val="00972360"/>
    <w:rsid w:val="009752FD"/>
    <w:rsid w:val="009834BA"/>
    <w:rsid w:val="0099644A"/>
    <w:rsid w:val="009A0F2D"/>
    <w:rsid w:val="009A5797"/>
    <w:rsid w:val="009C4AA8"/>
    <w:rsid w:val="009E69B2"/>
    <w:rsid w:val="009E6E85"/>
    <w:rsid w:val="00A02C4A"/>
    <w:rsid w:val="00A12151"/>
    <w:rsid w:val="00A16E6C"/>
    <w:rsid w:val="00A21A47"/>
    <w:rsid w:val="00A34D28"/>
    <w:rsid w:val="00A42B4A"/>
    <w:rsid w:val="00A55E51"/>
    <w:rsid w:val="00A621B1"/>
    <w:rsid w:val="00A73656"/>
    <w:rsid w:val="00A808A6"/>
    <w:rsid w:val="00A96BB9"/>
    <w:rsid w:val="00AA6256"/>
    <w:rsid w:val="00AB01A3"/>
    <w:rsid w:val="00AB3DA1"/>
    <w:rsid w:val="00AB70EE"/>
    <w:rsid w:val="00AC260D"/>
    <w:rsid w:val="00AF1222"/>
    <w:rsid w:val="00AF4085"/>
    <w:rsid w:val="00B00301"/>
    <w:rsid w:val="00B027CC"/>
    <w:rsid w:val="00B13398"/>
    <w:rsid w:val="00B15415"/>
    <w:rsid w:val="00B16F39"/>
    <w:rsid w:val="00B35142"/>
    <w:rsid w:val="00B46AFA"/>
    <w:rsid w:val="00B57F0B"/>
    <w:rsid w:val="00B84F03"/>
    <w:rsid w:val="00BA04A4"/>
    <w:rsid w:val="00BA470F"/>
    <w:rsid w:val="00BB1D43"/>
    <w:rsid w:val="00BB74A1"/>
    <w:rsid w:val="00BC46E5"/>
    <w:rsid w:val="00BE4ECF"/>
    <w:rsid w:val="00BF4CF2"/>
    <w:rsid w:val="00C04873"/>
    <w:rsid w:val="00C06425"/>
    <w:rsid w:val="00C070DB"/>
    <w:rsid w:val="00C244D2"/>
    <w:rsid w:val="00C25C06"/>
    <w:rsid w:val="00C27D49"/>
    <w:rsid w:val="00C31943"/>
    <w:rsid w:val="00C3548C"/>
    <w:rsid w:val="00C3630B"/>
    <w:rsid w:val="00C36DFF"/>
    <w:rsid w:val="00C4270D"/>
    <w:rsid w:val="00C50CF5"/>
    <w:rsid w:val="00C5148A"/>
    <w:rsid w:val="00C54C10"/>
    <w:rsid w:val="00C80AEE"/>
    <w:rsid w:val="00C97A27"/>
    <w:rsid w:val="00CA6263"/>
    <w:rsid w:val="00CB0AAC"/>
    <w:rsid w:val="00CC14E4"/>
    <w:rsid w:val="00CC2ED6"/>
    <w:rsid w:val="00CD01B2"/>
    <w:rsid w:val="00CD0797"/>
    <w:rsid w:val="00CF1580"/>
    <w:rsid w:val="00D07FA5"/>
    <w:rsid w:val="00D12134"/>
    <w:rsid w:val="00D13CE3"/>
    <w:rsid w:val="00D62BDB"/>
    <w:rsid w:val="00D72183"/>
    <w:rsid w:val="00D81AD9"/>
    <w:rsid w:val="00D84224"/>
    <w:rsid w:val="00D8539F"/>
    <w:rsid w:val="00D8545B"/>
    <w:rsid w:val="00DA2CD8"/>
    <w:rsid w:val="00DA3432"/>
    <w:rsid w:val="00DA7BBF"/>
    <w:rsid w:val="00DB15E2"/>
    <w:rsid w:val="00DB4785"/>
    <w:rsid w:val="00DB77D9"/>
    <w:rsid w:val="00DB7812"/>
    <w:rsid w:val="00DC150A"/>
    <w:rsid w:val="00DC76DB"/>
    <w:rsid w:val="00E23571"/>
    <w:rsid w:val="00E378C8"/>
    <w:rsid w:val="00E45EFD"/>
    <w:rsid w:val="00E46C57"/>
    <w:rsid w:val="00E51CD4"/>
    <w:rsid w:val="00E52147"/>
    <w:rsid w:val="00E52781"/>
    <w:rsid w:val="00E537DB"/>
    <w:rsid w:val="00E7103E"/>
    <w:rsid w:val="00E766E9"/>
    <w:rsid w:val="00E91EBB"/>
    <w:rsid w:val="00E92580"/>
    <w:rsid w:val="00EA43D9"/>
    <w:rsid w:val="00EA77A4"/>
    <w:rsid w:val="00EB10D0"/>
    <w:rsid w:val="00EB121E"/>
    <w:rsid w:val="00EB21E0"/>
    <w:rsid w:val="00EB2D83"/>
    <w:rsid w:val="00EB494D"/>
    <w:rsid w:val="00EC4CC3"/>
    <w:rsid w:val="00ED3C9C"/>
    <w:rsid w:val="00EF7E68"/>
    <w:rsid w:val="00F0265B"/>
    <w:rsid w:val="00F10D61"/>
    <w:rsid w:val="00F15206"/>
    <w:rsid w:val="00F2290F"/>
    <w:rsid w:val="00F2714B"/>
    <w:rsid w:val="00F316B4"/>
    <w:rsid w:val="00F343B4"/>
    <w:rsid w:val="00F34F17"/>
    <w:rsid w:val="00F35099"/>
    <w:rsid w:val="00F37F4E"/>
    <w:rsid w:val="00F40EF7"/>
    <w:rsid w:val="00F4241E"/>
    <w:rsid w:val="00F4435F"/>
    <w:rsid w:val="00F45984"/>
    <w:rsid w:val="00F541D6"/>
    <w:rsid w:val="00F62284"/>
    <w:rsid w:val="00F72293"/>
    <w:rsid w:val="00F878E0"/>
    <w:rsid w:val="00F93A38"/>
    <w:rsid w:val="00FD179C"/>
    <w:rsid w:val="00FE1476"/>
    <w:rsid w:val="00FE391F"/>
    <w:rsid w:val="00FE490A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14"/>
  </w:style>
  <w:style w:type="paragraph" w:styleId="1">
    <w:name w:val="heading 1"/>
    <w:basedOn w:val="a"/>
    <w:next w:val="a"/>
    <w:link w:val="10"/>
    <w:uiPriority w:val="99"/>
    <w:qFormat/>
    <w:rsid w:val="00390E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35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2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4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5AE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C54C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4C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54C10"/>
    <w:rPr>
      <w:vertAlign w:val="superscript"/>
    </w:rPr>
  </w:style>
  <w:style w:type="character" w:styleId="aa">
    <w:name w:val="Hyperlink"/>
    <w:basedOn w:val="a0"/>
    <w:uiPriority w:val="99"/>
    <w:unhideWhenUsed/>
    <w:rsid w:val="00CF158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C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60CD"/>
  </w:style>
  <w:style w:type="paragraph" w:styleId="ad">
    <w:name w:val="footer"/>
    <w:basedOn w:val="a"/>
    <w:link w:val="ae"/>
    <w:uiPriority w:val="99"/>
    <w:unhideWhenUsed/>
    <w:rsid w:val="007C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60CD"/>
  </w:style>
  <w:style w:type="table" w:styleId="af">
    <w:name w:val="Table Grid"/>
    <w:basedOn w:val="a1"/>
    <w:uiPriority w:val="59"/>
    <w:rsid w:val="00EB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5740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74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0EC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14"/>
  </w:style>
  <w:style w:type="paragraph" w:styleId="1">
    <w:name w:val="heading 1"/>
    <w:basedOn w:val="a"/>
    <w:next w:val="a"/>
    <w:link w:val="10"/>
    <w:uiPriority w:val="99"/>
    <w:qFormat/>
    <w:rsid w:val="00390E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1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B35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2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4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75AE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C54C1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54C1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54C10"/>
    <w:rPr>
      <w:vertAlign w:val="superscript"/>
    </w:rPr>
  </w:style>
  <w:style w:type="character" w:styleId="aa">
    <w:name w:val="Hyperlink"/>
    <w:basedOn w:val="a0"/>
    <w:uiPriority w:val="99"/>
    <w:unhideWhenUsed/>
    <w:rsid w:val="00CF158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C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60CD"/>
  </w:style>
  <w:style w:type="paragraph" w:styleId="ad">
    <w:name w:val="footer"/>
    <w:basedOn w:val="a"/>
    <w:link w:val="ae"/>
    <w:uiPriority w:val="99"/>
    <w:unhideWhenUsed/>
    <w:rsid w:val="007C6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60CD"/>
  </w:style>
  <w:style w:type="table" w:styleId="af">
    <w:name w:val="Table Grid"/>
    <w:basedOn w:val="a1"/>
    <w:uiPriority w:val="59"/>
    <w:rsid w:val="00EB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5740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74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0EC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17FF-A711-4EBE-A411-65338C8F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Sukharev</dc:creator>
  <cp:lastModifiedBy>Чернявская Светлана Сергеевна</cp:lastModifiedBy>
  <cp:revision>9</cp:revision>
  <cp:lastPrinted>2018-03-22T05:38:00Z</cp:lastPrinted>
  <dcterms:created xsi:type="dcterms:W3CDTF">2018-01-26T04:53:00Z</dcterms:created>
  <dcterms:modified xsi:type="dcterms:W3CDTF">2018-03-22T09:11:00Z</dcterms:modified>
</cp:coreProperties>
</file>