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BF" w:rsidRPr="005A00F3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Отчет</w:t>
      </w:r>
    </w:p>
    <w:p w:rsidR="00C671BF" w:rsidRPr="005A00F3" w:rsidRDefault="00C671BF" w:rsidP="00C671B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1A5F8D" w:rsidRPr="001A5F8D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Pr="005A00F3">
        <w:rPr>
          <w:rFonts w:ascii="Times New Roman" w:hAnsi="Times New Roman" w:cs="Times New Roman"/>
          <w:sz w:val="28"/>
          <w:szCs w:val="28"/>
        </w:rPr>
        <w:t>» направления «Социальная среда» Стратегии социально-экономического развития муниципального образования городской округ город Сургут за 20</w:t>
      </w:r>
      <w:r w:rsidR="00E934CB">
        <w:rPr>
          <w:rFonts w:ascii="Times New Roman" w:hAnsi="Times New Roman" w:cs="Times New Roman"/>
          <w:sz w:val="28"/>
          <w:szCs w:val="28"/>
        </w:rPr>
        <w:t>2</w:t>
      </w:r>
      <w:r w:rsidR="00F8082B">
        <w:rPr>
          <w:rFonts w:ascii="Times New Roman" w:hAnsi="Times New Roman" w:cs="Times New Roman"/>
          <w:sz w:val="28"/>
          <w:szCs w:val="28"/>
        </w:rPr>
        <w:t>1</w:t>
      </w:r>
      <w:r w:rsidRPr="005A00F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Pr="005A00F3" w:rsidRDefault="00C671BF" w:rsidP="00C03614">
      <w:pPr>
        <w:pStyle w:val="a5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671BF" w:rsidRPr="00E7406F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406F">
        <w:rPr>
          <w:rFonts w:ascii="Times New Roman" w:hAnsi="Times New Roman" w:cs="Times New Roman"/>
          <w:sz w:val="28"/>
          <w:szCs w:val="28"/>
        </w:rPr>
        <w:t>. Стратегическая цель и задачи вектор</w:t>
      </w:r>
      <w:r w:rsidR="009A5390" w:rsidRPr="00E7406F">
        <w:rPr>
          <w:rFonts w:ascii="Times New Roman" w:hAnsi="Times New Roman" w:cs="Times New Roman"/>
          <w:sz w:val="28"/>
          <w:szCs w:val="28"/>
        </w:rPr>
        <w:t>а</w:t>
      </w:r>
      <w:r w:rsidR="00A517EF">
        <w:rPr>
          <w:rFonts w:ascii="Times New Roman" w:hAnsi="Times New Roman" w:cs="Times New Roman"/>
          <w:sz w:val="28"/>
          <w:szCs w:val="28"/>
        </w:rPr>
        <w:t>.</w:t>
      </w:r>
    </w:p>
    <w:p w:rsidR="005A00F3" w:rsidRPr="00E7406F" w:rsidRDefault="00F05CAE" w:rsidP="005A00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Стратегическая цель вектора – с</w:t>
      </w:r>
      <w:r w:rsidR="001A5F8D" w:rsidRPr="00E7406F">
        <w:rPr>
          <w:rFonts w:ascii="Times New Roman" w:hAnsi="Times New Roman" w:cs="Times New Roman"/>
          <w:sz w:val="28"/>
          <w:szCs w:val="28"/>
        </w:rPr>
        <w:t>оздание условий для осуществления жизнедеятельности и труда жителей города Сургута в соответствии с нормами и нормативами, установленными действующим законодательством, в том числе в рамках реализации переданных государственных полномочий</w:t>
      </w:r>
      <w:r w:rsidR="005A00F3" w:rsidRPr="00E7406F">
        <w:rPr>
          <w:rFonts w:ascii="Times New Roman" w:hAnsi="Times New Roman" w:cs="Times New Roman"/>
          <w:sz w:val="28"/>
          <w:szCs w:val="28"/>
        </w:rPr>
        <w:t>.</w:t>
      </w:r>
    </w:p>
    <w:p w:rsidR="005A00F3" w:rsidRPr="00E7406F" w:rsidRDefault="005A00F3" w:rsidP="005A00F3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hAnsi="Times New Roman" w:cs="Times New Roman"/>
          <w:sz w:val="28"/>
          <w:szCs w:val="28"/>
          <w:lang w:eastAsia="en-US"/>
        </w:rPr>
        <w:t>Задачами, направленными на достижение стратегической цели, являются:</w:t>
      </w:r>
    </w:p>
    <w:p w:rsidR="001A5F8D" w:rsidRPr="00E7406F" w:rsidRDefault="001A5F8D" w:rsidP="001A5F8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социальная поддержка отдельных категорий граждан, в том числе путём реализации переданных государственных полномочий;</w:t>
      </w:r>
    </w:p>
    <w:p w:rsidR="001A5F8D" w:rsidRPr="00E7406F" w:rsidRDefault="001A5F8D" w:rsidP="001A5F8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реализация гарантий погребения;</w:t>
      </w:r>
    </w:p>
    <w:p w:rsidR="001A5F8D" w:rsidRPr="00E7406F" w:rsidRDefault="001A5F8D" w:rsidP="001A5F8D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406F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содействие улучшению условий и охраны труда, обеспечивающих сохранение жизни и здоровья работников организаций города</w:t>
      </w:r>
      <w:r w:rsidR="00C457B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03614" w:rsidRPr="00E7406F" w:rsidRDefault="00C03614" w:rsidP="009A539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671BF" w:rsidRPr="00E7406F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7406F">
        <w:rPr>
          <w:rFonts w:ascii="Times New Roman" w:hAnsi="Times New Roman" w:cs="Times New Roman"/>
          <w:sz w:val="28"/>
          <w:szCs w:val="28"/>
        </w:rPr>
        <w:t>. 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A517EF">
        <w:rPr>
          <w:rFonts w:ascii="Times New Roman" w:hAnsi="Times New Roman" w:cs="Times New Roman"/>
          <w:sz w:val="28"/>
          <w:szCs w:val="28"/>
        </w:rPr>
        <w:t>.</w:t>
      </w:r>
    </w:p>
    <w:p w:rsidR="00C671BF" w:rsidRPr="00E7406F" w:rsidRDefault="00C671BF" w:rsidP="00C67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E934CB">
        <w:rPr>
          <w:rFonts w:ascii="Times New Roman" w:hAnsi="Times New Roman" w:cs="Times New Roman"/>
          <w:sz w:val="28"/>
          <w:szCs w:val="28"/>
        </w:rPr>
        <w:t>2</w:t>
      </w:r>
      <w:r w:rsidR="00F8082B">
        <w:rPr>
          <w:rFonts w:ascii="Times New Roman" w:hAnsi="Times New Roman" w:cs="Times New Roman"/>
          <w:sz w:val="28"/>
          <w:szCs w:val="28"/>
        </w:rPr>
        <w:t>1</w:t>
      </w:r>
      <w:r w:rsidRPr="00E7406F">
        <w:rPr>
          <w:rFonts w:ascii="Times New Roman" w:hAnsi="Times New Roman" w:cs="Times New Roman"/>
          <w:sz w:val="28"/>
          <w:szCs w:val="28"/>
        </w:rPr>
        <w:t xml:space="preserve"> год представлен в приложении 1 к отчету.</w:t>
      </w:r>
    </w:p>
    <w:p w:rsidR="00C671BF" w:rsidRPr="00E7406F" w:rsidRDefault="00C671BF" w:rsidP="00C671BF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C671BF" w:rsidRPr="00E7406F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406F">
        <w:rPr>
          <w:rFonts w:ascii="Times New Roman" w:hAnsi="Times New Roman" w:cs="Times New Roman"/>
          <w:sz w:val="28"/>
          <w:szCs w:val="28"/>
        </w:rPr>
        <w:t>. Анализ реализации мероприятий, флагманских проектов и</w:t>
      </w:r>
      <w:r w:rsidR="00785EEF">
        <w:rPr>
          <w:rFonts w:ascii="Times New Roman" w:hAnsi="Times New Roman" w:cs="Times New Roman"/>
          <w:sz w:val="28"/>
          <w:szCs w:val="28"/>
        </w:rPr>
        <w:t> </w:t>
      </w:r>
      <w:r w:rsidRPr="00E7406F">
        <w:rPr>
          <w:rFonts w:ascii="Times New Roman" w:hAnsi="Times New Roman" w:cs="Times New Roman"/>
          <w:sz w:val="28"/>
          <w:szCs w:val="28"/>
        </w:rPr>
        <w:t>проектов плана мероприятий по реализации Стратегии</w:t>
      </w:r>
      <w:r w:rsidR="00A517EF">
        <w:rPr>
          <w:rFonts w:ascii="Times New Roman" w:hAnsi="Times New Roman" w:cs="Times New Roman"/>
          <w:sz w:val="28"/>
          <w:szCs w:val="28"/>
        </w:rPr>
        <w:t>.</w:t>
      </w:r>
    </w:p>
    <w:p w:rsidR="00C671BF" w:rsidRPr="00E7406F" w:rsidRDefault="00C671BF" w:rsidP="00C671BF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представлен в приложении 2 к отчету.</w:t>
      </w:r>
    </w:p>
    <w:p w:rsidR="00C671BF" w:rsidRPr="00E7406F" w:rsidRDefault="00C671BF" w:rsidP="00C671BF">
      <w:pPr>
        <w:rPr>
          <w:rFonts w:ascii="Times New Roman" w:hAnsi="Times New Roman" w:cs="Times New Roman"/>
          <w:sz w:val="28"/>
          <w:szCs w:val="28"/>
        </w:rPr>
      </w:pPr>
    </w:p>
    <w:p w:rsidR="00785EEF" w:rsidRPr="00155666" w:rsidRDefault="00C671BF" w:rsidP="00785EEF">
      <w:pPr>
        <w:rPr>
          <w:rFonts w:ascii="Times New Roman" w:hAnsi="Times New Roman" w:cs="Times New Roman"/>
          <w:sz w:val="28"/>
          <w:szCs w:val="28"/>
        </w:rPr>
      </w:pPr>
      <w:r w:rsidRPr="00E7406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E740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7406F">
        <w:rPr>
          <w:rFonts w:ascii="Times New Roman" w:hAnsi="Times New Roman" w:cs="Times New Roman"/>
          <w:sz w:val="28"/>
          <w:szCs w:val="28"/>
        </w:rPr>
        <w:t>. По результатам проведенного анализа можно сделать следующие выводы:</w:t>
      </w:r>
      <w:r w:rsidR="00785EEF">
        <w:rPr>
          <w:rFonts w:ascii="Times New Roman" w:hAnsi="Times New Roman" w:cs="Times New Roman"/>
          <w:sz w:val="28"/>
          <w:szCs w:val="28"/>
        </w:rPr>
        <w:t xml:space="preserve"> з</w:t>
      </w:r>
      <w:r w:rsidR="00785EEF" w:rsidRPr="00155666">
        <w:rPr>
          <w:rFonts w:ascii="Times New Roman" w:hAnsi="Times New Roman" w:cs="Times New Roman"/>
          <w:sz w:val="28"/>
          <w:szCs w:val="28"/>
        </w:rPr>
        <w:t>начения целевых показателей свидетельствуют о</w:t>
      </w:r>
      <w:r w:rsidR="00785EEF">
        <w:rPr>
          <w:rFonts w:ascii="Times New Roman" w:hAnsi="Times New Roman" w:cs="Times New Roman"/>
          <w:sz w:val="28"/>
          <w:szCs w:val="28"/>
        </w:rPr>
        <w:t> </w:t>
      </w:r>
      <w:r w:rsidR="00785EEF" w:rsidRPr="00155666">
        <w:rPr>
          <w:rFonts w:ascii="Times New Roman" w:hAnsi="Times New Roman" w:cs="Times New Roman"/>
          <w:sz w:val="28"/>
          <w:szCs w:val="28"/>
        </w:rPr>
        <w:t>промежуточном достижении цели вектора.</w:t>
      </w:r>
    </w:p>
    <w:p w:rsidR="009A5390" w:rsidRDefault="009A5390" w:rsidP="00C03614">
      <w:pPr>
        <w:rPr>
          <w:rFonts w:ascii="Times New Roman" w:hAnsi="Times New Roman" w:cs="Times New Roman"/>
        </w:rPr>
        <w:sectPr w:rsidR="009A5390" w:rsidSect="009A53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1BF" w:rsidRDefault="00C671BF" w:rsidP="00C03614">
      <w:pPr>
        <w:rPr>
          <w:rFonts w:ascii="Times New Roman" w:hAnsi="Times New Roman" w:cs="Times New Roman"/>
        </w:rPr>
      </w:pPr>
    </w:p>
    <w:p w:rsidR="00C671BF" w:rsidRPr="009A5390" w:rsidRDefault="00C671BF" w:rsidP="00934377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F05CAE" w:rsidRDefault="00C671BF" w:rsidP="00934377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 xml:space="preserve">о реализации вектора </w:t>
      </w:r>
    </w:p>
    <w:p w:rsidR="00C671BF" w:rsidRPr="00922D18" w:rsidRDefault="00C671BF" w:rsidP="00934377">
      <w:pPr>
        <w:ind w:left="9639" w:firstLine="0"/>
        <w:jc w:val="left"/>
        <w:rPr>
          <w:rFonts w:ascii="Times New Roman" w:hAnsi="Times New Roman" w:cs="Times New Roman"/>
          <w:sz w:val="28"/>
          <w:szCs w:val="28"/>
        </w:rPr>
      </w:pPr>
      <w:r w:rsidRPr="009A5390">
        <w:rPr>
          <w:rFonts w:ascii="Times New Roman" w:hAnsi="Times New Roman" w:cs="Times New Roman"/>
          <w:sz w:val="28"/>
          <w:szCs w:val="28"/>
        </w:rPr>
        <w:t>«</w:t>
      </w:r>
      <w:r w:rsidR="001A5F8D" w:rsidRPr="001A5F8D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Pr="009A5390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                                      направления «Социа</w:t>
      </w:r>
      <w:r w:rsidRPr="00C671BF">
        <w:rPr>
          <w:rFonts w:ascii="Times New Roman" w:hAnsi="Times New Roman" w:cs="Times New Roman"/>
          <w:sz w:val="28"/>
          <w:szCs w:val="28"/>
        </w:rPr>
        <w:t>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934377">
      <w:pPr>
        <w:ind w:left="9639" w:firstLine="0"/>
        <w:jc w:val="left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E934CB">
        <w:rPr>
          <w:rFonts w:ascii="Times New Roman" w:hAnsi="Times New Roman" w:cs="Times New Roman"/>
          <w:sz w:val="28"/>
          <w:szCs w:val="28"/>
        </w:rPr>
        <w:t>2</w:t>
      </w:r>
      <w:r w:rsidR="00F8082B">
        <w:rPr>
          <w:rFonts w:ascii="Times New Roman" w:hAnsi="Times New Roman" w:cs="Times New Roman"/>
          <w:sz w:val="28"/>
          <w:szCs w:val="28"/>
        </w:rPr>
        <w:t>1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256F08" w:rsidRDefault="00256F08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F08" w:rsidRDefault="00256F08" w:rsidP="00C671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1BF" w:rsidRDefault="00C671BF" w:rsidP="00C671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</w:t>
      </w:r>
      <w:r w:rsidR="00E934CB">
        <w:rPr>
          <w:rFonts w:ascii="Times New Roman" w:hAnsi="Times New Roman" w:cs="Times New Roman"/>
          <w:sz w:val="28"/>
          <w:szCs w:val="28"/>
        </w:rPr>
        <w:t>2</w:t>
      </w:r>
      <w:r w:rsidR="00F808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1BF" w:rsidRDefault="00C671BF" w:rsidP="00C03614">
      <w:pPr>
        <w:rPr>
          <w:rFonts w:ascii="Times New Roman" w:hAnsi="Times New Roman" w:cs="Times New Roman"/>
        </w:rPr>
      </w:pP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C671BF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E7406F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E7406F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План</w:t>
            </w:r>
          </w:p>
          <w:p w:rsidR="009A5390" w:rsidRPr="00E7406F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20</w:t>
            </w:r>
            <w:r w:rsidR="00E934CB">
              <w:rPr>
                <w:rFonts w:ascii="Times New Roman" w:hAnsi="Times New Roman" w:cs="Times New Roman"/>
              </w:rPr>
              <w:t>2</w:t>
            </w:r>
            <w:r w:rsidR="00F8082B">
              <w:rPr>
                <w:rFonts w:ascii="Times New Roman" w:hAnsi="Times New Roman" w:cs="Times New Roman"/>
              </w:rPr>
              <w:t>1</w:t>
            </w:r>
            <w:r w:rsidRPr="00E7406F">
              <w:rPr>
                <w:rFonts w:ascii="Times New Roman" w:hAnsi="Times New Roman" w:cs="Times New Roman"/>
              </w:rPr>
              <w:t xml:space="preserve"> год</w:t>
            </w:r>
          </w:p>
          <w:p w:rsidR="00C671BF" w:rsidRPr="00E7406F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BF" w:rsidRPr="00E7406F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Факт</w:t>
            </w:r>
          </w:p>
          <w:p w:rsidR="009A5390" w:rsidRPr="00E7406F" w:rsidRDefault="009A5390" w:rsidP="009A53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20</w:t>
            </w:r>
            <w:r w:rsidR="00E934CB">
              <w:rPr>
                <w:rFonts w:ascii="Times New Roman" w:hAnsi="Times New Roman" w:cs="Times New Roman"/>
              </w:rPr>
              <w:t>2</w:t>
            </w:r>
            <w:r w:rsidR="00F8082B">
              <w:rPr>
                <w:rFonts w:ascii="Times New Roman" w:hAnsi="Times New Roman" w:cs="Times New Roman"/>
              </w:rPr>
              <w:t>1</w:t>
            </w:r>
            <w:r w:rsidRPr="00E7406F">
              <w:rPr>
                <w:rFonts w:ascii="Times New Roman" w:hAnsi="Times New Roman" w:cs="Times New Roman"/>
              </w:rPr>
              <w:t xml:space="preserve"> год</w:t>
            </w:r>
            <w:r w:rsidR="00500331">
              <w:rPr>
                <w:rFonts w:ascii="Times New Roman" w:hAnsi="Times New Roman" w:cs="Times New Roman"/>
              </w:rPr>
              <w:t>*</w:t>
            </w:r>
          </w:p>
          <w:p w:rsidR="00C671BF" w:rsidRPr="00E7406F" w:rsidRDefault="00C671BF" w:rsidP="009A539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1BF" w:rsidRPr="00E7406F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Исполнение</w:t>
            </w:r>
          </w:p>
          <w:p w:rsidR="00C671BF" w:rsidRPr="00E7406F" w:rsidRDefault="00C671BF" w:rsidP="001E7D3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(%)</w:t>
            </w:r>
          </w:p>
        </w:tc>
      </w:tr>
      <w:tr w:rsidR="00C671BF" w:rsidRPr="009D0466" w:rsidTr="001E7D3E"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671BF" w:rsidRPr="00E7406F" w:rsidRDefault="00693FA0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</w:t>
            </w:r>
            <w:r w:rsidR="00C671BF" w:rsidRPr="00E7406F">
              <w:rPr>
                <w:rFonts w:ascii="Times New Roman" w:hAnsi="Times New Roman" w:cs="Times New Roman"/>
              </w:rPr>
              <w:t>Направление «Социальная среда»</w:t>
            </w:r>
          </w:p>
        </w:tc>
      </w:tr>
      <w:tr w:rsidR="00C671BF" w:rsidRPr="009D0466" w:rsidTr="001E7D3E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1BF" w:rsidRPr="00E7406F" w:rsidRDefault="00693FA0" w:rsidP="001E7D3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</w:t>
            </w:r>
            <w:r w:rsidR="00C671BF" w:rsidRPr="00E7406F">
              <w:rPr>
                <w:rFonts w:ascii="Times New Roman" w:hAnsi="Times New Roman" w:cs="Times New Roman"/>
              </w:rPr>
              <w:t>Вектор «</w:t>
            </w:r>
            <w:r w:rsidR="001A5F8D" w:rsidRPr="00E7406F">
              <w:rPr>
                <w:rFonts w:ascii="Times New Roman" w:hAnsi="Times New Roman" w:cs="Times New Roman"/>
              </w:rPr>
              <w:t>Социальная поддержка</w:t>
            </w:r>
            <w:r w:rsidR="00C671BF" w:rsidRPr="00E7406F">
              <w:rPr>
                <w:rFonts w:ascii="Times New Roman" w:hAnsi="Times New Roman" w:cs="Times New Roman"/>
              </w:rPr>
              <w:t>»</w:t>
            </w:r>
          </w:p>
        </w:tc>
      </w:tr>
      <w:tr w:rsidR="001A5F8D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25. Доля граждан, получивших социальную поддержку в общей численности граждан, имеющих право на ее получение и обратившихся за ее получением,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256F08" w:rsidP="00E740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8D" w:rsidRPr="00E7406F" w:rsidRDefault="00256F08" w:rsidP="00E740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A5F8D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26. Доля работников организаций муниципального сектора, охваченных мероприятиями по улучшению условий и охраны труда в общей численности работников муниципальных организаций,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256F08" w:rsidP="00E740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8D" w:rsidRPr="00E7406F" w:rsidRDefault="00256F08" w:rsidP="00E740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A5F8D" w:rsidRPr="00C671BF" w:rsidTr="001E7D3E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1A5F8D" w:rsidP="001A5F8D">
            <w:pPr>
              <w:pStyle w:val="a6"/>
              <w:rPr>
                <w:rFonts w:ascii="Times New Roman" w:hAnsi="Times New Roman" w:cs="Times New Roman"/>
              </w:rPr>
            </w:pPr>
            <w:r w:rsidRPr="00E7406F">
              <w:rPr>
                <w:rFonts w:ascii="Times New Roman" w:hAnsi="Times New Roman" w:cs="Times New Roman"/>
              </w:rPr>
              <w:t>27. Соотношение прожиточного минимума и пенсии по старости,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E7406F" w:rsidRDefault="00925C33" w:rsidP="00A15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8D" w:rsidRPr="00F157F4" w:rsidRDefault="00925C33" w:rsidP="00A517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F8D" w:rsidRPr="00F157F4" w:rsidRDefault="00F157F4" w:rsidP="00E740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157F4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7406F" w:rsidRDefault="00E7406F" w:rsidP="00744F79">
      <w:pPr>
        <w:rPr>
          <w:rFonts w:ascii="Times New Roman" w:hAnsi="Times New Roman" w:cs="Times New Roman"/>
          <w:sz w:val="28"/>
          <w:szCs w:val="28"/>
        </w:rPr>
      </w:pPr>
    </w:p>
    <w:p w:rsidR="00B84EA8" w:rsidRDefault="00B84EA8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500331" w:rsidRPr="00500331" w:rsidRDefault="00500331" w:rsidP="00500331">
      <w:pPr>
        <w:ind w:firstLine="142"/>
        <w:rPr>
          <w:rFonts w:ascii="Times New Roman" w:eastAsiaTheme="minorHAnsi" w:hAnsi="Times New Roman" w:cs="Times New Roman"/>
          <w:lang w:eastAsia="en-US"/>
        </w:rPr>
      </w:pPr>
      <w:bookmarkStart w:id="0" w:name="_GoBack"/>
      <w:r w:rsidRPr="00500331">
        <w:rPr>
          <w:rFonts w:ascii="Times New Roman" w:eastAsiaTheme="minorHAnsi" w:hAnsi="Times New Roman" w:cs="Times New Roman"/>
          <w:lang w:eastAsia="en-US"/>
        </w:rPr>
        <w:t>* - предварительные данные.</w:t>
      </w:r>
    </w:p>
    <w:bookmarkEnd w:id="0"/>
    <w:p w:rsidR="00595626" w:rsidRDefault="00595626" w:rsidP="0050033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56F08" w:rsidRDefault="00256F08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256F08" w:rsidRDefault="00256F08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256F08" w:rsidRDefault="00256F08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256F08" w:rsidRDefault="00256F08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F05CAE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о реализации вектора 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«</w:t>
      </w:r>
      <w:r w:rsidR="001A5F8D" w:rsidRPr="001A5F8D">
        <w:rPr>
          <w:rFonts w:ascii="Times New Roman" w:hAnsi="Times New Roman" w:cs="Times New Roman"/>
          <w:sz w:val="28"/>
          <w:szCs w:val="28"/>
        </w:rPr>
        <w:t>Социальная поддержка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C671BF" w:rsidRPr="00922D18" w:rsidRDefault="00C671BF" w:rsidP="00C671BF">
      <w:pPr>
        <w:ind w:left="10206" w:firstLine="0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</w:t>
      </w:r>
      <w:r w:rsidRPr="00C671BF">
        <w:rPr>
          <w:rFonts w:ascii="Times New Roman" w:hAnsi="Times New Roman" w:cs="Times New Roman"/>
          <w:sz w:val="28"/>
          <w:szCs w:val="28"/>
        </w:rPr>
        <w:t>Социальная среда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</w:p>
    <w:p w:rsidR="00C671BF" w:rsidRPr="0005580E" w:rsidRDefault="00C671BF" w:rsidP="00C671BF">
      <w:pPr>
        <w:ind w:left="10206" w:firstLine="0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</w:t>
      </w:r>
      <w:r w:rsidR="00E934CB">
        <w:rPr>
          <w:rFonts w:ascii="Times New Roman" w:hAnsi="Times New Roman" w:cs="Times New Roman"/>
          <w:sz w:val="28"/>
          <w:szCs w:val="28"/>
        </w:rPr>
        <w:t>2</w:t>
      </w:r>
      <w:r w:rsidR="00F8082B">
        <w:rPr>
          <w:rFonts w:ascii="Times New Roman" w:hAnsi="Times New Roman" w:cs="Times New Roman"/>
          <w:sz w:val="28"/>
          <w:szCs w:val="28"/>
        </w:rPr>
        <w:t>1</w:t>
      </w:r>
      <w:r w:rsidRPr="00922D18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C671BF" w:rsidRDefault="00C671BF" w:rsidP="00C671BF">
      <w:pPr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C671BF" w:rsidRDefault="00C671BF" w:rsidP="00C671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</w:t>
      </w:r>
      <w:r w:rsidR="00E934CB">
        <w:rPr>
          <w:rFonts w:ascii="Times New Roman" w:hAnsi="Times New Roman" w:cs="Times New Roman"/>
          <w:sz w:val="28"/>
          <w:szCs w:val="28"/>
        </w:rPr>
        <w:t>2</w:t>
      </w:r>
      <w:r w:rsidR="00F808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5390" w:rsidRDefault="009A5390" w:rsidP="00C671BF">
      <w:pPr>
        <w:jc w:val="center"/>
        <w:rPr>
          <w:rFonts w:ascii="Times New Roman" w:hAnsi="Times New Roman" w:cs="Times New Roman"/>
        </w:rPr>
      </w:pPr>
    </w:p>
    <w:tbl>
      <w:tblPr>
        <w:tblStyle w:val="11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693"/>
        <w:gridCol w:w="5670"/>
      </w:tblGrid>
      <w:tr w:rsidR="00E05493" w:rsidRPr="00D61763" w:rsidTr="00E05493">
        <w:tc>
          <w:tcPr>
            <w:tcW w:w="3544" w:type="dxa"/>
            <w:shd w:val="clear" w:color="auto" w:fill="auto"/>
          </w:tcPr>
          <w:p w:rsidR="00E05493" w:rsidRPr="000046C4" w:rsidRDefault="00E0549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Наименование мероприятия/подмероприятия/</w:t>
            </w:r>
          </w:p>
          <w:p w:rsidR="00E05493" w:rsidRPr="000046C4" w:rsidRDefault="00E0549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2835" w:type="dxa"/>
            <w:shd w:val="clear" w:color="auto" w:fill="auto"/>
          </w:tcPr>
          <w:p w:rsidR="00E05493" w:rsidRPr="000046C4" w:rsidRDefault="00E0549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E05493" w:rsidRPr="000046C4" w:rsidRDefault="00E0549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подмероприятия</w:t>
            </w:r>
          </w:p>
          <w:p w:rsidR="00E05493" w:rsidRPr="000046C4" w:rsidRDefault="00E0549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>
              <w:t xml:space="preserve"> </w:t>
            </w:r>
            <w:r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2693" w:type="dxa"/>
            <w:shd w:val="clear" w:color="auto" w:fill="auto"/>
          </w:tcPr>
          <w:p w:rsidR="00E05493" w:rsidRPr="000046C4" w:rsidRDefault="00E0549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046C4">
              <w:rPr>
                <w:rFonts w:ascii="Times New Roman" w:hAnsi="Times New Roman" w:cs="Times New Roman"/>
              </w:rPr>
              <w:t>Срок реализации мероприятия/ подмероприятия/ключевого события/события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6C4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0046C4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66B9">
              <w:rPr>
                <w:rFonts w:ascii="Times New Roman" w:hAnsi="Times New Roman" w:cs="Times New Roman"/>
                <w:color w:val="000000"/>
              </w:rPr>
              <w:t xml:space="preserve">Ханты-Мансийского автономного округа – Югры на период до 2030 года </w:t>
            </w:r>
          </w:p>
        </w:tc>
        <w:tc>
          <w:tcPr>
            <w:tcW w:w="5670" w:type="dxa"/>
            <w:shd w:val="clear" w:color="auto" w:fill="auto"/>
          </w:tcPr>
          <w:p w:rsidR="00E05493" w:rsidRPr="00027913" w:rsidRDefault="00E05493" w:rsidP="000D7F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913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E05493" w:rsidRPr="00D61763" w:rsidTr="00E05493">
        <w:tc>
          <w:tcPr>
            <w:tcW w:w="14742" w:type="dxa"/>
            <w:gridSpan w:val="4"/>
            <w:shd w:val="clear" w:color="auto" w:fill="auto"/>
            <w:vAlign w:val="center"/>
          </w:tcPr>
          <w:p w:rsidR="00E05493" w:rsidRPr="0059462F" w:rsidRDefault="00E05493" w:rsidP="000D7F6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 Направление – Социальная среда</w:t>
            </w:r>
          </w:p>
        </w:tc>
      </w:tr>
      <w:tr w:rsidR="00E05493" w:rsidRPr="00D61763" w:rsidTr="00E05493">
        <w:trPr>
          <w:trHeight w:val="259"/>
        </w:trPr>
        <w:tc>
          <w:tcPr>
            <w:tcW w:w="14742" w:type="dxa"/>
            <w:gridSpan w:val="4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2.3.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Вектор – </w:t>
            </w:r>
            <w:r>
              <w:rPr>
                <w:rFonts w:ascii="Times New Roman" w:eastAsia="Calibri" w:hAnsi="Times New Roman" w:cs="Times New Roman"/>
                <w:color w:val="000000"/>
              </w:rPr>
              <w:t>Социальная поддержка</w:t>
            </w:r>
          </w:p>
        </w:tc>
      </w:tr>
      <w:tr w:rsidR="00E05493" w:rsidRPr="00D61763" w:rsidTr="00E05493">
        <w:trPr>
          <w:trHeight w:val="710"/>
        </w:trPr>
        <w:tc>
          <w:tcPr>
            <w:tcW w:w="3544" w:type="dxa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lastRenderedPageBreak/>
              <w:t>2.3.1.   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Мероприятия по нормативно-правовому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организационному обеспечению, регулированию социальной поддержки граждан и охраны труда</w:t>
            </w:r>
          </w:p>
        </w:tc>
        <w:tc>
          <w:tcPr>
            <w:tcW w:w="2835" w:type="dxa"/>
            <w:shd w:val="clear" w:color="auto" w:fill="auto"/>
          </w:tcPr>
          <w:p w:rsidR="00E05493" w:rsidRPr="0059462F" w:rsidRDefault="00E05493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обеспечивает выполнение целевых показателей 15, 16, 25, 26, 27 </w:t>
            </w:r>
          </w:p>
        </w:tc>
        <w:tc>
          <w:tcPr>
            <w:tcW w:w="2693" w:type="dxa"/>
            <w:shd w:val="clear" w:color="auto" w:fill="auto"/>
          </w:tcPr>
          <w:p w:rsidR="00E05493" w:rsidRPr="0059462F" w:rsidRDefault="00E05493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3" w:rsidRPr="002D5EC3" w:rsidRDefault="00E0549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E05493" w:rsidRPr="00D61763" w:rsidTr="00E05493">
        <w:trPr>
          <w:trHeight w:val="710"/>
        </w:trPr>
        <w:tc>
          <w:tcPr>
            <w:tcW w:w="3544" w:type="dxa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2.3.1.1</w:t>
            </w:r>
            <w:r w:rsidRPr="0059462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9462F">
              <w:rPr>
                <w:rFonts w:ascii="Times New Roman" w:eastAsia="Calibri" w:hAnsi="Times New Roman" w:cs="Times New Roman"/>
              </w:rPr>
              <w:t>.</w:t>
            </w:r>
            <w:r w:rsidRPr="0059462F">
              <w:rPr>
                <w:rFonts w:ascii="Times New Roman" w:eastAsia="Calibri" w:hAnsi="Times New Roman" w:cs="Times New Roman"/>
                <w:vertAlign w:val="superscript"/>
              </w:rPr>
              <w:t> </w:t>
            </w:r>
            <w:r w:rsidRPr="0059462F">
              <w:rPr>
                <w:rFonts w:ascii="Times New Roman" w:eastAsia="Calibri" w:hAnsi="Times New Roman" w:cs="Times New Roman"/>
              </w:rPr>
              <w:t>Ключевое событие «Реализация мер социальной поддержки и предоставление государственных услуг отдельным категориям населения»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1. Доля граждан, получивших государственные услуги, от общего числа граждан, обратившихся </w:t>
            </w:r>
          </w:p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в орган местного самоуправления </w:t>
            </w:r>
            <w:r w:rsidRPr="0059462F">
              <w:rPr>
                <w:rFonts w:ascii="Times New Roman" w:eastAsia="Calibri" w:hAnsi="Times New Roman" w:cs="Times New Roman"/>
              </w:rPr>
              <w:br/>
              <w:t>по вопросам опеки и попечительства, на уровне 100 %.</w:t>
            </w:r>
          </w:p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 Доля граждан, обеспеченных мерами социальной поддержки, </w:t>
            </w:r>
            <w:r w:rsidRPr="0059462F">
              <w:rPr>
                <w:rFonts w:ascii="Times New Roman" w:eastAsia="Calibri" w:hAnsi="Times New Roman" w:cs="Times New Roman"/>
              </w:rPr>
              <w:br/>
              <w:t xml:space="preserve">от численности граждан, имеющих право на их получение </w:t>
            </w:r>
            <w:r w:rsidRPr="0059462F">
              <w:rPr>
                <w:rFonts w:ascii="Times New Roman" w:eastAsia="Calibri" w:hAnsi="Times New Roman" w:cs="Times New Roman"/>
              </w:rPr>
              <w:br/>
              <w:t xml:space="preserve">и обратившихся за их получением, </w:t>
            </w:r>
            <w:r w:rsidRPr="0059462F">
              <w:rPr>
                <w:rFonts w:ascii="Times New Roman" w:eastAsia="Calibri" w:hAnsi="Times New Roman" w:cs="Times New Roman"/>
              </w:rPr>
              <w:br/>
              <w:t>на уровне 100%</w:t>
            </w:r>
          </w:p>
        </w:tc>
        <w:tc>
          <w:tcPr>
            <w:tcW w:w="2693" w:type="dxa"/>
          </w:tcPr>
          <w:p w:rsidR="00E05493" w:rsidRPr="0059462F" w:rsidRDefault="00E05493" w:rsidP="000D7F60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2020</w:t>
            </w:r>
            <w:r w:rsidRPr="0059462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>– 2023 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3" w:rsidRPr="00256F08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56F08">
              <w:rPr>
                <w:rFonts w:ascii="Times New Roman" w:eastAsiaTheme="minorHAnsi" w:hAnsi="Times New Roman" w:cs="Times New Roman"/>
                <w:lang w:eastAsia="en-US"/>
              </w:rPr>
              <w:t>1. 100</w:t>
            </w:r>
            <w:r w:rsidRPr="00256F08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256F08">
              <w:rPr>
                <w:rFonts w:ascii="Times New Roman" w:eastAsiaTheme="minorHAnsi" w:hAnsi="Times New Roman" w:cs="Times New Roman"/>
                <w:lang w:eastAsia="en-US"/>
              </w:rPr>
              <w:t>%</w:t>
            </w:r>
          </w:p>
          <w:p w:rsidR="00E05493" w:rsidRPr="002D5EC3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256F08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 w:rsidRPr="00256F08">
              <w:rPr>
                <w:rFonts w:ascii="Times New Roman" w:eastAsiaTheme="minorHAnsi" w:hAnsi="Times New Roman" w:cs="Times New Roman"/>
                <w:lang w:val="en-US" w:eastAsia="en-US"/>
              </w:rPr>
              <w:t>100 %</w:t>
            </w:r>
          </w:p>
        </w:tc>
      </w:tr>
      <w:tr w:rsidR="00E05493" w:rsidRPr="00D61763" w:rsidTr="00E05493">
        <w:trPr>
          <w:trHeight w:val="407"/>
        </w:trPr>
        <w:tc>
          <w:tcPr>
            <w:tcW w:w="3544" w:type="dxa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2.3.1.2. Ключевое событие «Реализация муниципального правового акта «Об утверждении межведомственного плана мероприятий «дорожной карты» по приобретению (строительству) и </w:t>
            </w:r>
            <w:r w:rsidRPr="0059462F">
              <w:rPr>
                <w:rFonts w:ascii="Times New Roman" w:eastAsia="Calibri" w:hAnsi="Times New Roman" w:cs="Times New Roman"/>
              </w:rPr>
              <w:lastRenderedPageBreak/>
              <w:t xml:space="preserve">предоставлению детям-сиротам </w:t>
            </w:r>
            <w:r w:rsidRPr="0059462F">
              <w:rPr>
                <w:rFonts w:ascii="Times New Roman" w:eastAsia="Calibri" w:hAnsi="Times New Roman" w:cs="Times New Roman"/>
              </w:rPr>
              <w:br/>
              <w:t>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помещений»</w:t>
            </w:r>
          </w:p>
        </w:tc>
        <w:tc>
          <w:tcPr>
            <w:tcW w:w="2835" w:type="dxa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lastRenderedPageBreak/>
              <w:t xml:space="preserve">численность детей-сирот и детей, оставшихся без попечения родителей, лиц из их числа детей-сирот и детей, оставшихся без попечения родителей, обеспеченных </w:t>
            </w:r>
            <w:r w:rsidRPr="0059462F">
              <w:rPr>
                <w:rFonts w:ascii="Times New Roman" w:eastAsia="Calibri" w:hAnsi="Times New Roman" w:cs="Times New Roman"/>
              </w:rPr>
              <w:lastRenderedPageBreak/>
              <w:t>благоустроенными жилыми помещениями специализированного жилищного фонда по договорам найма специализированных жилых помещений, 50 человек ежегодно</w:t>
            </w:r>
          </w:p>
        </w:tc>
        <w:tc>
          <w:tcPr>
            <w:tcW w:w="2693" w:type="dxa"/>
            <w:shd w:val="clear" w:color="auto" w:fill="auto"/>
          </w:tcPr>
          <w:p w:rsidR="00E05493" w:rsidRPr="0059462F" w:rsidRDefault="00E05493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2019 – 2023 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3" w:rsidRPr="00071F29" w:rsidRDefault="00E0549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071F29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E05493" w:rsidRPr="00F44548" w:rsidRDefault="00E0549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4548">
              <w:rPr>
                <w:rFonts w:ascii="Times New Roman" w:hAnsi="Times New Roman" w:cs="Times New Roman"/>
              </w:rPr>
              <w:t xml:space="preserve">Недостижение </w:t>
            </w:r>
            <w:r w:rsidRPr="00761C7D">
              <w:rPr>
                <w:rFonts w:ascii="Times New Roman" w:hAnsi="Times New Roman" w:cs="Times New Roman"/>
              </w:rPr>
              <w:t xml:space="preserve">планового значения </w:t>
            </w:r>
            <w:r w:rsidRPr="00F44548">
              <w:rPr>
                <w:rFonts w:ascii="Times New Roman" w:hAnsi="Times New Roman" w:cs="Times New Roman"/>
              </w:rPr>
              <w:t>показателя обусловлено несос</w:t>
            </w:r>
            <w:r>
              <w:rPr>
                <w:rFonts w:ascii="Times New Roman" w:hAnsi="Times New Roman" w:cs="Times New Roman"/>
              </w:rPr>
              <w:t>тоявшимися в течение 2021</w:t>
            </w:r>
            <w:r w:rsidRPr="00F44548"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>аук</w:t>
            </w:r>
            <w:r w:rsidRPr="009D0FFE">
              <w:rPr>
                <w:rFonts w:ascii="Times New Roman" w:hAnsi="Times New Roman" w:cs="Times New Roman"/>
              </w:rPr>
              <w:t>ц</w:t>
            </w:r>
            <w:r w:rsidRPr="00F44548">
              <w:rPr>
                <w:rFonts w:ascii="Times New Roman" w:hAnsi="Times New Roman" w:cs="Times New Roman"/>
              </w:rPr>
              <w:t>ионами.</w:t>
            </w:r>
          </w:p>
          <w:p w:rsidR="00E05493" w:rsidRPr="00B10194" w:rsidRDefault="00E05493" w:rsidP="000D7F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31.12.2021</w:t>
            </w:r>
            <w:r w:rsidRPr="000245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обеспечены жилыми помещениями 32 лиц из числа детей-сирот и детей, оставшихся без попечения родителей.</w:t>
            </w:r>
            <w:r w:rsidRPr="0002455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E05493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На 01.01.2021 право возникло и не реализовано у 111 лиц из числа детей-сирот и детей, оставшихся без попечения родителей, имеющих право на предоставление благоустроенного жилого помещения по договору найма специализированного жилого помещения</w:t>
            </w:r>
            <w:r w:rsidRPr="00F8149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из них у 29 человек право на получение жилого помещения возникло в 2019 году и у 82 человек </w:t>
            </w:r>
            <w:r w:rsidRPr="00F8149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–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 2020 году. </w:t>
            </w:r>
          </w:p>
          <w:p w:rsidR="00E05493" w:rsidRPr="002D5EC3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F4454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Запланированный показатель будет достигнут до конца 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следующего года.</w:t>
            </w:r>
          </w:p>
        </w:tc>
      </w:tr>
      <w:tr w:rsidR="00E05493" w:rsidRPr="00D61763" w:rsidTr="00E05493">
        <w:trPr>
          <w:trHeight w:val="710"/>
        </w:trPr>
        <w:tc>
          <w:tcPr>
            <w:tcW w:w="3544" w:type="dxa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2.3.1.3. Ключевое событие «Корректировка/реализация муниципальной программы в сфере </w:t>
            </w:r>
            <w:r w:rsidRPr="0059462F">
              <w:rPr>
                <w:rFonts w:ascii="Times New Roman" w:eastAsia="Calibri" w:hAnsi="Times New Roman" w:cs="Times New Roman"/>
              </w:rPr>
              <w:t>организации ритуальных услуг и содержания объектов похоронного обслуживания»</w:t>
            </w:r>
          </w:p>
        </w:tc>
        <w:tc>
          <w:tcPr>
            <w:tcW w:w="2835" w:type="dxa"/>
            <w:shd w:val="clear" w:color="auto" w:fill="auto"/>
          </w:tcPr>
          <w:p w:rsidR="00E05493" w:rsidRPr="0059462F" w:rsidRDefault="00E05493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доля предоставленных ритуальных услуг по погребению от общего количества обращений, 100%</w:t>
            </w:r>
          </w:p>
        </w:tc>
        <w:tc>
          <w:tcPr>
            <w:tcW w:w="2693" w:type="dxa"/>
            <w:shd w:val="clear" w:color="auto" w:fill="auto"/>
          </w:tcPr>
          <w:p w:rsidR="00E05493" w:rsidRPr="0059462F" w:rsidRDefault="00E05493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  <w:p w:rsidR="00E05493" w:rsidRPr="0059462F" w:rsidRDefault="00E05493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3" w:rsidRPr="00E2493D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100 %</w:t>
            </w:r>
          </w:p>
          <w:p w:rsidR="00E05493" w:rsidRPr="00E2493D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Количество предоставленных услуг</w:t>
            </w:r>
          </w:p>
          <w:p w:rsidR="00E05493" w:rsidRPr="00E2493D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по погребению</w:t>
            </w:r>
          </w:p>
          <w:p w:rsidR="00E05493" w:rsidRPr="00E2493D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 3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1.1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.2021 –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3 348</w:t>
            </w:r>
            <w:r w:rsidRPr="00CA442A">
              <w:rPr>
                <w:rFonts w:ascii="Times New Roman" w:eastAsiaTheme="minorHAnsi" w:hAnsi="Times New Roman" w:cs="Times New Roman"/>
                <w:lang w:eastAsia="en-US"/>
              </w:rPr>
              <w:t>, к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оличество обращений</w:t>
            </w:r>
          </w:p>
          <w:p w:rsidR="00E05493" w:rsidRPr="00E2493D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на предоставление услуг</w:t>
            </w:r>
          </w:p>
          <w:p w:rsidR="00E05493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по погребению</w:t>
            </w:r>
            <w:r w:rsidRPr="00CA442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– </w:t>
            </w:r>
            <w:r w:rsidRPr="007E5E7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7E5E75">
              <w:rPr>
                <w:rFonts w:ascii="Times New Roman" w:eastAsiaTheme="minorHAnsi" w:hAnsi="Times New Roman" w:cs="Times New Roman"/>
                <w:lang w:eastAsia="en-US"/>
              </w:rPr>
              <w:t>348</w:t>
            </w:r>
          </w:p>
          <w:p w:rsidR="00E05493" w:rsidRPr="00E2493D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05493" w:rsidRPr="00D61763" w:rsidTr="00E05493">
        <w:trPr>
          <w:trHeight w:val="710"/>
        </w:trPr>
        <w:tc>
          <w:tcPr>
            <w:tcW w:w="3544" w:type="dxa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2.3.1.4. Ключевое событие «Корректировка/реализация муниципальной программы в сфере улучшения условий и охраны труда»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издание не менее 6 муниципальных правовых актов по вопросам охраны труда ежегодно</w:t>
            </w:r>
          </w:p>
        </w:tc>
        <w:tc>
          <w:tcPr>
            <w:tcW w:w="2693" w:type="dxa"/>
            <w:shd w:val="clear" w:color="auto" w:fill="auto"/>
          </w:tcPr>
          <w:p w:rsidR="00E05493" w:rsidRPr="0059462F" w:rsidRDefault="00E05493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3" w:rsidRPr="00F81498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Издано 6 муниципальных правовых актов по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вопросам охраны труда</w:t>
            </w:r>
            <w:r w:rsidRPr="00F81498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E05493" w:rsidRPr="00D61763" w:rsidTr="00E05493">
        <w:trPr>
          <w:trHeight w:val="710"/>
        </w:trPr>
        <w:tc>
          <w:tcPr>
            <w:tcW w:w="3544" w:type="dxa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2.3.1.5</w:t>
            </w:r>
            <w:r w:rsidRPr="0059462F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59462F">
              <w:rPr>
                <w:rFonts w:ascii="Times New Roman" w:eastAsia="Calibri" w:hAnsi="Times New Roman" w:cs="Times New Roman"/>
              </w:rPr>
              <w:t>.  Ключевое событие «Реализация мер социальной поддержки по проезду в городском пассажирском транспорте общего пользования отдельным категориям населения»</w:t>
            </w:r>
          </w:p>
        </w:tc>
        <w:tc>
          <w:tcPr>
            <w:tcW w:w="2835" w:type="dxa"/>
            <w:shd w:val="clear" w:color="auto" w:fill="auto"/>
          </w:tcPr>
          <w:p w:rsidR="00E05493" w:rsidRPr="0059462F" w:rsidRDefault="00E05493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 xml:space="preserve">доля граждан, обеспеченных мерами социальной поддержки </w:t>
            </w:r>
            <w:r w:rsidRPr="0059462F">
              <w:rPr>
                <w:rFonts w:ascii="Times New Roman" w:eastAsia="Calibri" w:hAnsi="Times New Roman" w:cs="Times New Roman"/>
              </w:rPr>
              <w:br/>
              <w:t xml:space="preserve">по проезду в городском пассажирском транспорте общего пользования, от численности граждан, имеющих право на их получение, и обратившихся за их </w:t>
            </w:r>
            <w:r w:rsidRPr="0059462F">
              <w:rPr>
                <w:rFonts w:ascii="Times New Roman" w:eastAsia="Calibri" w:hAnsi="Times New Roman" w:cs="Times New Roman"/>
              </w:rPr>
              <w:lastRenderedPageBreak/>
              <w:t>получением, на уровне 100%</w:t>
            </w:r>
          </w:p>
        </w:tc>
        <w:tc>
          <w:tcPr>
            <w:tcW w:w="2693" w:type="dxa"/>
            <w:shd w:val="clear" w:color="auto" w:fill="auto"/>
          </w:tcPr>
          <w:p w:rsidR="00E05493" w:rsidRPr="0059462F" w:rsidRDefault="00E05493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lastRenderedPageBreak/>
              <w:t>2020 – 2023 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3" w:rsidRPr="00E2493D" w:rsidRDefault="00E05493" w:rsidP="000D7F60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100 %</w:t>
            </w:r>
          </w:p>
          <w:p w:rsidR="00E05493" w:rsidRDefault="00E05493" w:rsidP="000D7F60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108 810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 человек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получили социальную поддержку.</w:t>
            </w:r>
          </w:p>
          <w:p w:rsidR="00E05493" w:rsidRDefault="00E05493" w:rsidP="000D7F60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E05493" w:rsidRPr="00F81498" w:rsidRDefault="00E05493" w:rsidP="000D7F60">
            <w:pPr>
              <w:widowControl/>
              <w:ind w:firstLine="0"/>
              <w:rPr>
                <w:rFonts w:ascii="Times New Roman" w:eastAsiaTheme="minorHAnsi" w:hAnsi="Times New Roman" w:cs="Times New Roman"/>
                <w:lang w:val="en-US" w:eastAsia="en-US"/>
              </w:rPr>
            </w:pPr>
          </w:p>
        </w:tc>
      </w:tr>
      <w:tr w:rsidR="00E05493" w:rsidRPr="00D61763" w:rsidTr="00E05493">
        <w:trPr>
          <w:trHeight w:val="710"/>
        </w:trPr>
        <w:tc>
          <w:tcPr>
            <w:tcW w:w="3544" w:type="dxa"/>
            <w:shd w:val="clear" w:color="auto" w:fill="auto"/>
          </w:tcPr>
          <w:p w:rsidR="00E05493" w:rsidRPr="001008E4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2.3.1.7. Ключевое событие "Предоставление налоговых льгот в соответствии с решениями Думы города о местных налогах"</w:t>
            </w:r>
          </w:p>
          <w:p w:rsidR="00E05493" w:rsidRPr="002C4D37" w:rsidRDefault="00E05493" w:rsidP="000D7F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E05493" w:rsidRPr="001008E4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количество категорий граждан, которым предоставлены налоговые льготы в соответствии с решениями Думы города о местных налогах (ежегодно с учётом сроков уплаты налогов физическими лицами):</w:t>
            </w:r>
          </w:p>
          <w:p w:rsidR="00E05493" w:rsidRPr="001008E4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15 ед. ежегодно</w:t>
            </w:r>
          </w:p>
          <w:p w:rsidR="00E05493" w:rsidRPr="00A157A0" w:rsidRDefault="00E05493" w:rsidP="000D7F60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05493" w:rsidRPr="001008E4" w:rsidRDefault="00E0549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008E4">
              <w:rPr>
                <w:rFonts w:ascii="Times New Roman" w:eastAsiaTheme="minorHAnsi" w:hAnsi="Times New Roman" w:cs="Times New Roman"/>
                <w:lang w:eastAsia="en-US"/>
              </w:rPr>
              <w:t>2021 - 2023 гг.</w:t>
            </w:r>
          </w:p>
          <w:p w:rsidR="00E05493" w:rsidRPr="001008E4" w:rsidRDefault="00E05493" w:rsidP="000D7F60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3" w:rsidRPr="00F81498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15</w:t>
            </w:r>
            <w:r w:rsidRPr="00761C7D">
              <w:rPr>
                <w:rFonts w:ascii="Times New Roman" w:eastAsiaTheme="minorHAnsi" w:hAnsi="Times New Roman" w:cs="Times New Roman"/>
                <w:lang w:eastAsia="en-US"/>
              </w:rPr>
              <w:t>-ти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 категориям граждан предоставлены налоговые льготы</w:t>
            </w:r>
            <w:r w:rsidRPr="00F81498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</w:tr>
      <w:tr w:rsidR="00E05493" w:rsidRPr="00D61763" w:rsidTr="00E05493">
        <w:trPr>
          <w:trHeight w:val="710"/>
        </w:trPr>
        <w:tc>
          <w:tcPr>
            <w:tcW w:w="3544" w:type="dxa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2.3.2.  Мероприятия по информационно-маркетинговому обеспечению социальной поддержки граждан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br/>
              <w:t>и улучшению условий труда</w:t>
            </w:r>
          </w:p>
        </w:tc>
        <w:tc>
          <w:tcPr>
            <w:tcW w:w="2835" w:type="dxa"/>
            <w:shd w:val="clear" w:color="auto" w:fill="auto"/>
          </w:tcPr>
          <w:p w:rsidR="00E05493" w:rsidRPr="0059462F" w:rsidRDefault="00E05493" w:rsidP="000D7F60">
            <w:pPr>
              <w:tabs>
                <w:tab w:val="left" w:pos="289"/>
              </w:tabs>
              <w:ind w:firstLine="0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>16, 25, 26</w:t>
            </w:r>
          </w:p>
        </w:tc>
        <w:tc>
          <w:tcPr>
            <w:tcW w:w="2693" w:type="dxa"/>
            <w:shd w:val="clear" w:color="auto" w:fill="auto"/>
          </w:tcPr>
          <w:p w:rsidR="00E05493" w:rsidRPr="0059462F" w:rsidRDefault="00E05493" w:rsidP="000D7F60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3" w:rsidRPr="002D5EC3" w:rsidRDefault="00E05493" w:rsidP="000D7F60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E05493" w:rsidRPr="00D61763" w:rsidTr="00E05493">
        <w:trPr>
          <w:trHeight w:val="710"/>
        </w:trPr>
        <w:tc>
          <w:tcPr>
            <w:tcW w:w="3544" w:type="dxa"/>
            <w:shd w:val="clear" w:color="auto" w:fill="auto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2.3.2.2. Подмероприятие 2. «Содействие улучшению условий и охраны труда, обеспечивающих сохранение жизни и здоровья работников организаций города»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проведение семинаров-совещаний, семинаров-практикумов, мастер-классов </w:t>
            </w:r>
            <w:r w:rsidRPr="0059462F">
              <w:rPr>
                <w:rFonts w:ascii="Times New Roman" w:eastAsia="Calibri" w:hAnsi="Times New Roman" w:cs="Times New Roman"/>
                <w:bCs/>
              </w:rPr>
              <w:t>по охране труда:</w:t>
            </w:r>
          </w:p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9462F">
              <w:rPr>
                <w:rFonts w:ascii="Times New Roman" w:eastAsia="Calibri" w:hAnsi="Times New Roman" w:cs="Times New Roman"/>
              </w:rPr>
              <w:t>II этап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 xml:space="preserve">– 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25 мероприятий;</w:t>
            </w:r>
          </w:p>
          <w:p w:rsidR="00E05493" w:rsidRPr="0059462F" w:rsidRDefault="00E05493" w:rsidP="000D7F60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</w:rPr>
              <w:t>III этап</w:t>
            </w:r>
            <w:r w:rsidRPr="0059462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9462F">
              <w:rPr>
                <w:rFonts w:ascii="Times New Roman" w:eastAsia="Calibri" w:hAnsi="Times New Roman" w:cs="Times New Roman"/>
              </w:rPr>
              <w:t xml:space="preserve">– </w:t>
            </w:r>
            <w:r w:rsidRPr="0059462F">
              <w:rPr>
                <w:rFonts w:ascii="Times New Roman" w:eastAsia="Calibri" w:hAnsi="Times New Roman" w:cs="Times New Roman"/>
                <w:bCs/>
                <w:color w:val="000000"/>
              </w:rPr>
              <w:t>35 мероприятий</w:t>
            </w:r>
          </w:p>
        </w:tc>
        <w:tc>
          <w:tcPr>
            <w:tcW w:w="2693" w:type="dxa"/>
            <w:shd w:val="clear" w:color="auto" w:fill="auto"/>
          </w:tcPr>
          <w:p w:rsidR="00E05493" w:rsidRPr="0059462F" w:rsidRDefault="00E05493" w:rsidP="000D7F60">
            <w:pPr>
              <w:ind w:left="-108" w:right="-108" w:firstLine="138"/>
              <w:jc w:val="center"/>
              <w:rPr>
                <w:rFonts w:ascii="Times New Roman" w:eastAsia="Calibri" w:hAnsi="Times New Roman" w:cs="Times New Roman"/>
              </w:rPr>
            </w:pPr>
            <w:r w:rsidRPr="0059462F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93" w:rsidRPr="00E2493D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Проведено 5 мероприятий по охране труда, из них</w:t>
            </w:r>
            <w:r w:rsidRPr="000F0F90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:rsidR="00E05493" w:rsidRPr="00E2493D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 xml:space="preserve"> семинара-совещания;</w:t>
            </w:r>
          </w:p>
          <w:p w:rsidR="00E05493" w:rsidRPr="00E2493D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 семинар-практикум;</w:t>
            </w:r>
          </w:p>
          <w:p w:rsidR="00E05493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E2493D">
              <w:rPr>
                <w:rFonts w:ascii="Times New Roman" w:eastAsiaTheme="minorHAnsi" w:hAnsi="Times New Roman" w:cs="Times New Roman"/>
                <w:lang w:eastAsia="en-US"/>
              </w:rPr>
              <w:t>1 мастер-класс</w:t>
            </w:r>
            <w:r w:rsidRPr="00CA442A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E05493" w:rsidRPr="00CA442A" w:rsidRDefault="00E05493" w:rsidP="000D7F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707508" w:rsidRPr="002D5EC3" w:rsidRDefault="00707508" w:rsidP="00E05493">
      <w:pPr>
        <w:jc w:val="center"/>
        <w:rPr>
          <w:rFonts w:ascii="Times New Roman" w:hAnsi="Times New Roman" w:cs="Times New Roman"/>
        </w:rPr>
      </w:pPr>
    </w:p>
    <w:sectPr w:rsidR="00707508" w:rsidRPr="002D5EC3" w:rsidSect="00E249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CCF" w:rsidRDefault="00DF7CCF" w:rsidP="00B84EA8">
      <w:r>
        <w:separator/>
      </w:r>
    </w:p>
  </w:endnote>
  <w:endnote w:type="continuationSeparator" w:id="0">
    <w:p w:rsidR="00DF7CCF" w:rsidRDefault="00DF7CCF" w:rsidP="00B8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CCF" w:rsidRDefault="00DF7CCF" w:rsidP="00B84EA8">
      <w:r>
        <w:separator/>
      </w:r>
    </w:p>
  </w:footnote>
  <w:footnote w:type="continuationSeparator" w:id="0">
    <w:p w:rsidR="00DF7CCF" w:rsidRDefault="00DF7CCF" w:rsidP="00B8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BD"/>
    <w:multiLevelType w:val="hybridMultilevel"/>
    <w:tmpl w:val="0430ED60"/>
    <w:lvl w:ilvl="0" w:tplc="622EFFC6">
      <w:start w:val="1"/>
      <w:numFmt w:val="bullet"/>
      <w:lvlText w:val="-"/>
      <w:lvlJc w:val="left"/>
      <w:pPr>
        <w:ind w:left="1045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8916265"/>
    <w:multiLevelType w:val="hybridMultilevel"/>
    <w:tmpl w:val="1646BBB2"/>
    <w:lvl w:ilvl="0" w:tplc="637E4F4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D1EC0"/>
    <w:multiLevelType w:val="hybridMultilevel"/>
    <w:tmpl w:val="C648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11BA4"/>
    <w:rsid w:val="00063260"/>
    <w:rsid w:val="000B4115"/>
    <w:rsid w:val="000C0672"/>
    <w:rsid w:val="000D76BB"/>
    <w:rsid w:val="000E2E3D"/>
    <w:rsid w:val="000E3EF7"/>
    <w:rsid w:val="000F2574"/>
    <w:rsid w:val="00120A0E"/>
    <w:rsid w:val="0018417E"/>
    <w:rsid w:val="001A5F8D"/>
    <w:rsid w:val="001C3FE2"/>
    <w:rsid w:val="001C5ACD"/>
    <w:rsid w:val="00256F08"/>
    <w:rsid w:val="0027765A"/>
    <w:rsid w:val="00277CB2"/>
    <w:rsid w:val="002B4922"/>
    <w:rsid w:val="002B77E6"/>
    <w:rsid w:val="002C4D37"/>
    <w:rsid w:val="002D5EC3"/>
    <w:rsid w:val="002E5F7A"/>
    <w:rsid w:val="0032716E"/>
    <w:rsid w:val="003D13BA"/>
    <w:rsid w:val="003E456B"/>
    <w:rsid w:val="00442C1F"/>
    <w:rsid w:val="004643F1"/>
    <w:rsid w:val="00493001"/>
    <w:rsid w:val="004C4A9E"/>
    <w:rsid w:val="004F1A6C"/>
    <w:rsid w:val="00500331"/>
    <w:rsid w:val="00504D19"/>
    <w:rsid w:val="00520E9E"/>
    <w:rsid w:val="00584ED5"/>
    <w:rsid w:val="00586089"/>
    <w:rsid w:val="00595626"/>
    <w:rsid w:val="005A00F3"/>
    <w:rsid w:val="005A3DA7"/>
    <w:rsid w:val="005E7639"/>
    <w:rsid w:val="006520A2"/>
    <w:rsid w:val="00693FA0"/>
    <w:rsid w:val="006956D7"/>
    <w:rsid w:val="006A526A"/>
    <w:rsid w:val="006B39E1"/>
    <w:rsid w:val="006D42AF"/>
    <w:rsid w:val="006E532D"/>
    <w:rsid w:val="00707508"/>
    <w:rsid w:val="0072453A"/>
    <w:rsid w:val="00740D40"/>
    <w:rsid w:val="00744F79"/>
    <w:rsid w:val="00785EEF"/>
    <w:rsid w:val="007D7CA1"/>
    <w:rsid w:val="007E0650"/>
    <w:rsid w:val="008172F4"/>
    <w:rsid w:val="008368E5"/>
    <w:rsid w:val="00925C33"/>
    <w:rsid w:val="009323C5"/>
    <w:rsid w:val="00934377"/>
    <w:rsid w:val="009A5390"/>
    <w:rsid w:val="009D0466"/>
    <w:rsid w:val="00A0513A"/>
    <w:rsid w:val="00A157A0"/>
    <w:rsid w:val="00A240C0"/>
    <w:rsid w:val="00A356B4"/>
    <w:rsid w:val="00A40137"/>
    <w:rsid w:val="00A517EF"/>
    <w:rsid w:val="00A65A21"/>
    <w:rsid w:val="00A72369"/>
    <w:rsid w:val="00A9787C"/>
    <w:rsid w:val="00AA7488"/>
    <w:rsid w:val="00AC6FAF"/>
    <w:rsid w:val="00B340A9"/>
    <w:rsid w:val="00B431E3"/>
    <w:rsid w:val="00B60783"/>
    <w:rsid w:val="00B73BEE"/>
    <w:rsid w:val="00B84EA8"/>
    <w:rsid w:val="00BE0B1D"/>
    <w:rsid w:val="00C03614"/>
    <w:rsid w:val="00C1399C"/>
    <w:rsid w:val="00C14ED8"/>
    <w:rsid w:val="00C17AFD"/>
    <w:rsid w:val="00C457BD"/>
    <w:rsid w:val="00C671BF"/>
    <w:rsid w:val="00C70555"/>
    <w:rsid w:val="00C81CCA"/>
    <w:rsid w:val="00CA12A9"/>
    <w:rsid w:val="00CB73FD"/>
    <w:rsid w:val="00CC0199"/>
    <w:rsid w:val="00CD74DA"/>
    <w:rsid w:val="00D15C6C"/>
    <w:rsid w:val="00D26CD3"/>
    <w:rsid w:val="00D86B7A"/>
    <w:rsid w:val="00DB0924"/>
    <w:rsid w:val="00DB3792"/>
    <w:rsid w:val="00DB7389"/>
    <w:rsid w:val="00DE7846"/>
    <w:rsid w:val="00DF7CCF"/>
    <w:rsid w:val="00E05493"/>
    <w:rsid w:val="00E114B6"/>
    <w:rsid w:val="00E2493D"/>
    <w:rsid w:val="00E7406F"/>
    <w:rsid w:val="00E934CB"/>
    <w:rsid w:val="00EB364D"/>
    <w:rsid w:val="00ED3A72"/>
    <w:rsid w:val="00EE3E2F"/>
    <w:rsid w:val="00EF30CD"/>
    <w:rsid w:val="00F05CAE"/>
    <w:rsid w:val="00F157F4"/>
    <w:rsid w:val="00F42552"/>
    <w:rsid w:val="00F75AC8"/>
    <w:rsid w:val="00F8082B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C757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34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4CB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84E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EA8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84E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EA8"/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List Paragraph"/>
    <w:basedOn w:val="a"/>
    <w:link w:val="af"/>
    <w:uiPriority w:val="34"/>
    <w:qFormat/>
    <w:rsid w:val="0027765A"/>
    <w:pPr>
      <w:ind w:left="720"/>
      <w:contextualSpacing/>
    </w:pPr>
  </w:style>
  <w:style w:type="table" w:customStyle="1" w:styleId="11">
    <w:name w:val="Сетка таблицы11"/>
    <w:basedOn w:val="a1"/>
    <w:next w:val="a7"/>
    <w:uiPriority w:val="59"/>
    <w:rsid w:val="00E0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05493"/>
    <w:rPr>
      <w:color w:val="0563C1" w:themeColor="hyperlink"/>
      <w:u w:val="single"/>
    </w:rPr>
  </w:style>
  <w:style w:type="character" w:customStyle="1" w:styleId="af">
    <w:name w:val="Абзац списка Знак"/>
    <w:link w:val="ae"/>
    <w:uiPriority w:val="34"/>
    <w:locked/>
    <w:rsid w:val="00E05493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E05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аголовок статьи"/>
    <w:basedOn w:val="a"/>
    <w:next w:val="a"/>
    <w:uiPriority w:val="99"/>
    <w:rsid w:val="00E05493"/>
    <w:pPr>
      <w:widowControl/>
      <w:ind w:left="1612" w:hanging="892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6B2DA-5FBA-44D4-9857-E9560713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1115</Words>
  <Characters>7908</Characters>
  <Application>Microsoft Office Word</Application>
  <DocSecurity>0</DocSecurity>
  <Lines>149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Бакика Оксана Борисовна</cp:lastModifiedBy>
  <cp:revision>24</cp:revision>
  <cp:lastPrinted>2021-11-10T08:58:00Z</cp:lastPrinted>
  <dcterms:created xsi:type="dcterms:W3CDTF">2021-10-29T07:02:00Z</dcterms:created>
  <dcterms:modified xsi:type="dcterms:W3CDTF">2022-06-28T07:20:00Z</dcterms:modified>
</cp:coreProperties>
</file>