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34EA" w:rsidRPr="001734EA" w:rsidRDefault="00145E65" w:rsidP="0043172B">
      <w:pPr>
        <w:tabs>
          <w:tab w:val="left" w:pos="4253"/>
        </w:tabs>
        <w:jc w:val="center"/>
        <w:rPr>
          <w:rFonts w:cs="Times New Roman"/>
          <w:spacing w:val="6"/>
          <w:sz w:val="24"/>
          <w:szCs w:val="24"/>
        </w:rPr>
      </w:pPr>
      <w:r>
        <w:rPr>
          <w:rFonts w:cs="Times New Roman"/>
          <w:noProof/>
          <w:spacing w:val="6"/>
          <w:sz w:val="24"/>
          <w:szCs w:val="24"/>
          <w:lang w:eastAsia="ru-RU"/>
        </w:rPr>
        <w:drawing>
          <wp:anchor distT="0" distB="0" distL="114300" distR="114300" simplePos="0" relativeHeight="251658240" behindDoc="0" locked="0" layoutInCell="1" allowOverlap="1">
            <wp:simplePos x="0" y="0"/>
            <wp:positionH relativeFrom="margin">
              <wp:align>center</wp:align>
            </wp:positionH>
            <wp:positionV relativeFrom="paragraph">
              <wp:posOffset>-596265</wp:posOffset>
            </wp:positionV>
            <wp:extent cx="684530" cy="828675"/>
            <wp:effectExtent l="0" t="0" r="1270" b="9525"/>
            <wp:wrapNone/>
            <wp:docPr id="2" name="Рисунок 1" descr="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rb.gif"/>
                    <pic:cNvPicPr/>
                  </pic:nvPicPr>
                  <pic:blipFill>
                    <a:blip r:embed="rId7" cstate="print">
                      <a:grayscl/>
                    </a:blip>
                    <a:stretch>
                      <a:fillRect/>
                    </a:stretch>
                  </pic:blipFill>
                  <pic:spPr>
                    <a:xfrm>
                      <a:off x="0" y="0"/>
                      <a:ext cx="684530" cy="828675"/>
                    </a:xfrm>
                    <a:prstGeom prst="rect">
                      <a:avLst/>
                    </a:prstGeom>
                  </pic:spPr>
                </pic:pic>
              </a:graphicData>
            </a:graphic>
          </wp:anchor>
        </w:drawing>
      </w:r>
    </w:p>
    <w:p w:rsidR="001734EA" w:rsidRPr="001734EA" w:rsidRDefault="001734EA" w:rsidP="001734EA">
      <w:pPr>
        <w:rPr>
          <w:rFonts w:cs="Times New Roman"/>
          <w:spacing w:val="6"/>
          <w:sz w:val="24"/>
          <w:szCs w:val="24"/>
        </w:rPr>
      </w:pPr>
    </w:p>
    <w:sdt>
      <w:sdtPr>
        <w:rPr>
          <w:rFonts w:cs="Times New Roman"/>
          <w:spacing w:val="6"/>
          <w:sz w:val="26"/>
          <w:szCs w:val="26"/>
        </w:rPr>
        <w:id w:val="22683047"/>
        <w:lock w:val="sdtContentLocked"/>
        <w:placeholder>
          <w:docPart w:val="ABDDE5C2D3054A4CB1000667415B810D"/>
        </w:placeholder>
      </w:sdtPr>
      <w:sdtEndPr>
        <w:rPr>
          <w:b/>
          <w:spacing w:val="14"/>
          <w:sz w:val="34"/>
          <w:szCs w:val="34"/>
        </w:rPr>
      </w:sdtEndPr>
      <w:sdtContent>
        <w:p w:rsidR="003311E7" w:rsidRDefault="003311E7" w:rsidP="00077080">
          <w:pPr>
            <w:jc w:val="center"/>
            <w:rPr>
              <w:rFonts w:cs="Times New Roman"/>
              <w:spacing w:val="2"/>
              <w:sz w:val="26"/>
              <w:szCs w:val="26"/>
            </w:rPr>
          </w:pPr>
          <w:r w:rsidRPr="00514C92">
            <w:rPr>
              <w:rFonts w:cs="Times New Roman"/>
              <w:spacing w:val="6"/>
              <w:sz w:val="26"/>
              <w:szCs w:val="26"/>
            </w:rPr>
            <w:t>МУНИЦИПАЛЬНОЕ ОБРАЗОВАНИЕ</w:t>
          </w:r>
          <w:r w:rsidR="00077080">
            <w:rPr>
              <w:rFonts w:cs="Times New Roman"/>
              <w:spacing w:val="6"/>
              <w:sz w:val="26"/>
              <w:szCs w:val="26"/>
            </w:rPr>
            <w:t xml:space="preserve"> </w:t>
          </w:r>
          <w:r w:rsidR="00224196">
            <w:rPr>
              <w:rFonts w:cs="Times New Roman"/>
              <w:spacing w:val="2"/>
              <w:sz w:val="26"/>
              <w:szCs w:val="26"/>
            </w:rPr>
            <w:t xml:space="preserve">ГОРОДСКОЙ ОКРУГ </w:t>
          </w:r>
          <w:r w:rsidRPr="00514C92">
            <w:rPr>
              <w:rFonts w:cs="Times New Roman"/>
              <w:spacing w:val="2"/>
              <w:sz w:val="26"/>
              <w:szCs w:val="26"/>
            </w:rPr>
            <w:t>СУРГУТ</w:t>
          </w:r>
        </w:p>
        <w:p w:rsidR="00077080" w:rsidRPr="00514C92" w:rsidRDefault="00077080" w:rsidP="00077080">
          <w:pPr>
            <w:jc w:val="center"/>
            <w:rPr>
              <w:rFonts w:cs="Times New Roman"/>
              <w:spacing w:val="2"/>
              <w:sz w:val="26"/>
              <w:szCs w:val="26"/>
            </w:rPr>
          </w:pPr>
          <w:r>
            <w:rPr>
              <w:rFonts w:cs="Times New Roman"/>
              <w:spacing w:val="6"/>
              <w:sz w:val="26"/>
              <w:szCs w:val="26"/>
            </w:rPr>
            <w:t>ХАНТЫ-МАНСИЙСКОГО АВТОНОМНОГО ОКРУГА – ЮГРЫ</w:t>
          </w:r>
        </w:p>
        <w:p w:rsidR="003311E7" w:rsidRPr="008A64CA" w:rsidRDefault="00F35FCF" w:rsidP="008A64CA">
          <w:pPr>
            <w:spacing w:before="400"/>
            <w:jc w:val="center"/>
            <w:rPr>
              <w:rFonts w:cs="Times New Roman"/>
              <w:b/>
              <w:spacing w:val="-8"/>
              <w:sz w:val="32"/>
              <w:szCs w:val="32"/>
            </w:rPr>
          </w:pPr>
          <w:r>
            <w:rPr>
              <w:rFonts w:cs="Times New Roman"/>
              <w:b/>
              <w:spacing w:val="-8"/>
              <w:sz w:val="32"/>
              <w:szCs w:val="32"/>
            </w:rPr>
            <w:t>ДУМА</w:t>
          </w:r>
          <w:r w:rsidR="003311E7" w:rsidRPr="008A64CA">
            <w:rPr>
              <w:rFonts w:cs="Times New Roman"/>
              <w:b/>
              <w:spacing w:val="-8"/>
              <w:sz w:val="32"/>
              <w:szCs w:val="32"/>
            </w:rPr>
            <w:t xml:space="preserve"> ГОРОДА СУРГУТА</w:t>
          </w:r>
        </w:p>
        <w:p w:rsidR="003311E7" w:rsidRDefault="00F35FCF" w:rsidP="00F35FCF">
          <w:pPr>
            <w:spacing w:before="280" w:after="280"/>
            <w:jc w:val="center"/>
            <w:rPr>
              <w:rFonts w:cs="Times New Roman"/>
              <w:b/>
              <w:spacing w:val="14"/>
              <w:sz w:val="34"/>
              <w:szCs w:val="34"/>
            </w:rPr>
          </w:pPr>
          <w:r>
            <w:rPr>
              <w:rFonts w:cs="Times New Roman"/>
              <w:b/>
              <w:spacing w:val="14"/>
              <w:sz w:val="34"/>
              <w:szCs w:val="34"/>
            </w:rPr>
            <w:t>РЕШЕНИЕ</w:t>
          </w:r>
        </w:p>
      </w:sdtContent>
    </w:sdt>
    <w:p w:rsidR="00F35FCF" w:rsidRPr="006D794C" w:rsidRDefault="00833826" w:rsidP="00244B5C">
      <w:pPr>
        <w:tabs>
          <w:tab w:val="right" w:pos="9638"/>
        </w:tabs>
        <w:jc w:val="center"/>
        <w:rPr>
          <w:rFonts w:cs="Times New Roman"/>
          <w:szCs w:val="28"/>
        </w:rPr>
      </w:pPr>
      <w:r w:rsidRPr="00833826">
        <w:rPr>
          <w:rFonts w:eastAsia="Calibri"/>
          <w:szCs w:val="28"/>
        </w:rPr>
        <w:t xml:space="preserve">Принято </w:t>
      </w:r>
      <w:r w:rsidR="00744B53">
        <w:rPr>
          <w:rFonts w:eastAsia="Calibri"/>
          <w:szCs w:val="28"/>
        </w:rPr>
        <w:t>на заседании Думы</w:t>
      </w:r>
      <w:r w:rsidRPr="00833826">
        <w:rPr>
          <w:rFonts w:eastAsia="Calibri"/>
          <w:szCs w:val="28"/>
        </w:rPr>
        <w:t xml:space="preserve"> </w:t>
      </w:r>
      <w:r w:rsidR="00B534A7">
        <w:rPr>
          <w:rFonts w:eastAsia="Calibri"/>
          <w:szCs w:val="28"/>
        </w:rPr>
        <w:t>30</w:t>
      </w:r>
      <w:r w:rsidR="003224F1" w:rsidRPr="00833826">
        <w:rPr>
          <w:rFonts w:cs="Times New Roman"/>
          <w:szCs w:val="28"/>
        </w:rPr>
        <w:t xml:space="preserve"> </w:t>
      </w:r>
      <w:r w:rsidR="00B534A7">
        <w:rPr>
          <w:rFonts w:cs="Times New Roman"/>
          <w:szCs w:val="28"/>
        </w:rPr>
        <w:t>марта</w:t>
      </w:r>
      <w:r w:rsidR="00CA6290" w:rsidRPr="00833826">
        <w:rPr>
          <w:rFonts w:cs="Times New Roman"/>
          <w:szCs w:val="28"/>
        </w:rPr>
        <w:t xml:space="preserve"> </w:t>
      </w:r>
      <w:r w:rsidR="00244B5C" w:rsidRPr="00833826">
        <w:rPr>
          <w:rFonts w:cs="Times New Roman"/>
          <w:szCs w:val="28"/>
        </w:rPr>
        <w:t>202</w:t>
      </w:r>
      <w:r w:rsidR="00B534A7">
        <w:rPr>
          <w:rFonts w:cs="Times New Roman"/>
          <w:szCs w:val="28"/>
        </w:rPr>
        <w:t>2</w:t>
      </w:r>
      <w:r w:rsidR="00E510F6" w:rsidRPr="00833826">
        <w:rPr>
          <w:rFonts w:cs="Times New Roman"/>
          <w:szCs w:val="28"/>
        </w:rPr>
        <w:t xml:space="preserve"> г</w:t>
      </w:r>
      <w:r w:rsidR="00F35FCF" w:rsidRPr="00833826">
        <w:rPr>
          <w:rFonts w:cs="Times New Roman"/>
          <w:szCs w:val="28"/>
        </w:rPr>
        <w:t>ода</w:t>
      </w:r>
    </w:p>
    <w:p w:rsidR="009B33D3" w:rsidRPr="00C61D0B" w:rsidRDefault="00C61D0B" w:rsidP="009B33D3">
      <w:pPr>
        <w:tabs>
          <w:tab w:val="left" w:pos="4111"/>
        </w:tabs>
        <w:ind w:right="-2"/>
        <w:jc w:val="center"/>
        <w:rPr>
          <w:rFonts w:eastAsia="Calibri"/>
          <w:szCs w:val="28"/>
          <w:u w:val="single"/>
        </w:rPr>
      </w:pPr>
      <w:r>
        <w:rPr>
          <w:rFonts w:eastAsia="Calibri"/>
          <w:szCs w:val="28"/>
        </w:rPr>
        <w:t xml:space="preserve">№ </w:t>
      </w:r>
      <w:r>
        <w:rPr>
          <w:rFonts w:eastAsia="Calibri"/>
          <w:szCs w:val="28"/>
          <w:u w:val="single"/>
        </w:rPr>
        <w:t>102-</w:t>
      </w:r>
      <w:r>
        <w:rPr>
          <w:rFonts w:eastAsia="Calibri"/>
          <w:szCs w:val="28"/>
          <w:u w:val="single"/>
          <w:lang w:val="en-US"/>
        </w:rPr>
        <w:t xml:space="preserve">VII </w:t>
      </w:r>
      <w:r>
        <w:rPr>
          <w:rFonts w:eastAsia="Calibri"/>
          <w:szCs w:val="28"/>
          <w:u w:val="single"/>
        </w:rPr>
        <w:t>ДГ</w:t>
      </w:r>
    </w:p>
    <w:p w:rsidR="00F34BA0" w:rsidRPr="00F34BA0" w:rsidRDefault="00F34BA0" w:rsidP="00F34BA0"/>
    <w:p w:rsidR="00C146BA" w:rsidRPr="00C146BA" w:rsidRDefault="00C146BA" w:rsidP="00C146BA">
      <w:pPr>
        <w:ind w:right="5668"/>
        <w:rPr>
          <w:rFonts w:eastAsia="Times New Roman" w:cs="Times New Roman"/>
          <w:szCs w:val="28"/>
          <w:lang w:eastAsia="ru-RU"/>
        </w:rPr>
      </w:pPr>
      <w:r w:rsidRPr="00C146BA">
        <w:rPr>
          <w:rFonts w:eastAsia="Times New Roman" w:cs="Times New Roman"/>
          <w:szCs w:val="28"/>
          <w:lang w:eastAsia="ru-RU"/>
        </w:rPr>
        <w:t xml:space="preserve">О внесении изменения </w:t>
      </w:r>
      <w:r>
        <w:rPr>
          <w:rFonts w:eastAsia="Times New Roman" w:cs="Times New Roman"/>
          <w:szCs w:val="28"/>
          <w:lang w:eastAsia="ru-RU"/>
        </w:rPr>
        <w:br/>
      </w:r>
      <w:r w:rsidRPr="00C146BA">
        <w:rPr>
          <w:rFonts w:eastAsia="Times New Roman" w:cs="Times New Roman"/>
          <w:szCs w:val="28"/>
          <w:lang w:eastAsia="ru-RU"/>
        </w:rPr>
        <w:t xml:space="preserve">в решение Думы города </w:t>
      </w:r>
      <w:r>
        <w:rPr>
          <w:rFonts w:eastAsia="Times New Roman" w:cs="Times New Roman"/>
          <w:szCs w:val="28"/>
          <w:lang w:eastAsia="ru-RU"/>
        </w:rPr>
        <w:br/>
      </w:r>
      <w:r w:rsidRPr="00C146BA">
        <w:rPr>
          <w:rFonts w:eastAsia="Times New Roman" w:cs="Times New Roman"/>
          <w:szCs w:val="28"/>
          <w:lang w:eastAsia="ru-RU"/>
        </w:rPr>
        <w:t>от 29.10.2021 № 7-</w:t>
      </w:r>
      <w:r w:rsidRPr="00C146BA">
        <w:rPr>
          <w:rFonts w:eastAsia="Times New Roman" w:cs="Times New Roman"/>
          <w:szCs w:val="28"/>
          <w:lang w:val="en-US" w:eastAsia="ru-RU"/>
        </w:rPr>
        <w:t>VII</w:t>
      </w:r>
      <w:r w:rsidRPr="00C146BA">
        <w:rPr>
          <w:rFonts w:eastAsia="Times New Roman" w:cs="Times New Roman"/>
          <w:szCs w:val="28"/>
          <w:lang w:eastAsia="ru-RU"/>
        </w:rPr>
        <w:t xml:space="preserve"> ДГ </w:t>
      </w:r>
      <w:r>
        <w:rPr>
          <w:rFonts w:eastAsia="Times New Roman" w:cs="Times New Roman"/>
          <w:szCs w:val="28"/>
          <w:lang w:eastAsia="ru-RU"/>
        </w:rPr>
        <w:br/>
      </w:r>
      <w:r w:rsidRPr="00C146BA">
        <w:rPr>
          <w:rFonts w:eastAsia="Times New Roman" w:cs="Times New Roman"/>
          <w:szCs w:val="28"/>
          <w:lang w:eastAsia="ru-RU"/>
        </w:rPr>
        <w:t xml:space="preserve">«О показателях оценки деятельности Главы города </w:t>
      </w:r>
      <w:r>
        <w:rPr>
          <w:rFonts w:eastAsia="Times New Roman" w:cs="Times New Roman"/>
          <w:szCs w:val="28"/>
          <w:lang w:eastAsia="ru-RU"/>
        </w:rPr>
        <w:br/>
      </w:r>
      <w:r w:rsidRPr="00C146BA">
        <w:rPr>
          <w:rFonts w:eastAsia="Times New Roman" w:cs="Times New Roman"/>
          <w:szCs w:val="28"/>
          <w:lang w:eastAsia="ru-RU"/>
        </w:rPr>
        <w:t>и Администрации города»</w:t>
      </w:r>
    </w:p>
    <w:p w:rsidR="007B3320" w:rsidRDefault="007B3320" w:rsidP="00C146BA">
      <w:pPr>
        <w:tabs>
          <w:tab w:val="left" w:pos="709"/>
        </w:tabs>
        <w:ind w:right="5668"/>
        <w:rPr>
          <w:rFonts w:eastAsia="Calibri" w:cs="Times New Roman"/>
          <w:szCs w:val="28"/>
        </w:rPr>
      </w:pPr>
    </w:p>
    <w:p w:rsidR="00C146BA" w:rsidRPr="00C146BA" w:rsidRDefault="00C146BA" w:rsidP="00C146BA">
      <w:pPr>
        <w:ind w:firstLine="720"/>
        <w:rPr>
          <w:rFonts w:eastAsia="Times New Roman" w:cs="Times New Roman"/>
          <w:szCs w:val="28"/>
          <w:lang w:eastAsia="ru-RU"/>
        </w:rPr>
      </w:pPr>
      <w:r w:rsidRPr="00C146BA">
        <w:rPr>
          <w:rFonts w:eastAsia="Times New Roman" w:cs="Times New Roman"/>
          <w:szCs w:val="28"/>
          <w:lang w:eastAsia="ru-RU"/>
        </w:rPr>
        <w:t>В целях повышения эффективности и результативности деятельности Главы города и Администрации города Дума города РЕШИЛА:</w:t>
      </w:r>
    </w:p>
    <w:p w:rsidR="00C146BA" w:rsidRPr="00C146BA" w:rsidRDefault="00C146BA" w:rsidP="00C146BA">
      <w:pPr>
        <w:autoSpaceDE w:val="0"/>
        <w:autoSpaceDN w:val="0"/>
        <w:adjustRightInd w:val="0"/>
        <w:ind w:firstLine="708"/>
        <w:rPr>
          <w:rFonts w:eastAsia="Times New Roman" w:cs="Times New Roman"/>
          <w:szCs w:val="28"/>
          <w:lang w:eastAsia="ru-RU"/>
        </w:rPr>
      </w:pPr>
    </w:p>
    <w:p w:rsidR="00C146BA" w:rsidRPr="00C146BA" w:rsidRDefault="00C146BA" w:rsidP="00C146BA">
      <w:pPr>
        <w:autoSpaceDE w:val="0"/>
        <w:autoSpaceDN w:val="0"/>
        <w:adjustRightInd w:val="0"/>
        <w:ind w:firstLine="708"/>
        <w:rPr>
          <w:rFonts w:eastAsia="Times New Roman" w:cs="Times New Roman"/>
          <w:szCs w:val="28"/>
          <w:lang w:eastAsia="ru-RU"/>
        </w:rPr>
      </w:pPr>
      <w:r w:rsidRPr="00C146BA">
        <w:rPr>
          <w:rFonts w:eastAsia="Times New Roman" w:cs="Times New Roman"/>
          <w:szCs w:val="28"/>
          <w:lang w:eastAsia="ru-RU"/>
        </w:rPr>
        <w:t>Внести изменение в решение Думы города от 29.10.2021 № 7-VII ДГ</w:t>
      </w:r>
      <w:r w:rsidRPr="00C146BA">
        <w:rPr>
          <w:rFonts w:ascii="Arial" w:eastAsia="Times New Roman" w:hAnsi="Arial" w:cs="Arial"/>
          <w:szCs w:val="28"/>
          <w:lang w:eastAsia="ru-RU"/>
        </w:rPr>
        <w:t xml:space="preserve"> </w:t>
      </w:r>
      <w:r w:rsidRPr="00C146BA">
        <w:rPr>
          <w:rFonts w:eastAsia="Times New Roman" w:cs="Times New Roman"/>
          <w:szCs w:val="28"/>
          <w:lang w:eastAsia="ru-RU"/>
        </w:rPr>
        <w:t>«О показателях оценки деятельности Главы города и Администрации города», изложив приложение 2 к решению в редакции согласно приложению</w:t>
      </w:r>
      <w:r>
        <w:rPr>
          <w:rFonts w:eastAsia="Times New Roman" w:cs="Times New Roman"/>
          <w:szCs w:val="28"/>
          <w:lang w:eastAsia="ru-RU"/>
        </w:rPr>
        <w:t xml:space="preserve"> </w:t>
      </w:r>
      <w:r w:rsidRPr="00C146BA">
        <w:rPr>
          <w:rFonts w:eastAsia="Times New Roman" w:cs="Times New Roman"/>
          <w:szCs w:val="28"/>
          <w:lang w:eastAsia="ru-RU"/>
        </w:rPr>
        <w:t>к настоящему решению.</w:t>
      </w:r>
    </w:p>
    <w:p w:rsidR="00C146BA" w:rsidRDefault="00C146BA" w:rsidP="008673F5">
      <w:pPr>
        <w:tabs>
          <w:tab w:val="left" w:pos="709"/>
        </w:tabs>
        <w:rPr>
          <w:rFonts w:eastAsia="Calibri" w:cs="Times New Roman"/>
          <w:szCs w:val="28"/>
        </w:rPr>
      </w:pPr>
    </w:p>
    <w:p w:rsidR="00C146BA" w:rsidRDefault="00C146BA" w:rsidP="008673F5">
      <w:pPr>
        <w:tabs>
          <w:tab w:val="left" w:pos="709"/>
        </w:tabs>
        <w:rPr>
          <w:rFonts w:eastAsia="Calibri" w:cs="Times New Roman"/>
          <w:szCs w:val="28"/>
        </w:rPr>
      </w:pPr>
    </w:p>
    <w:p w:rsidR="006C02FC" w:rsidRDefault="006C02FC" w:rsidP="008673F5">
      <w:pPr>
        <w:tabs>
          <w:tab w:val="left" w:pos="709"/>
        </w:tabs>
        <w:rPr>
          <w:rFonts w:eastAsia="Calibri" w:cs="Times New Roman"/>
          <w:szCs w:val="28"/>
        </w:rPr>
      </w:pPr>
    </w:p>
    <w:p w:rsidR="00DC313D" w:rsidRPr="00B55A96" w:rsidRDefault="00DC313D" w:rsidP="00DC313D">
      <w:pPr>
        <w:rPr>
          <w:szCs w:val="28"/>
        </w:rPr>
      </w:pPr>
      <w:r w:rsidRPr="00B55A96">
        <w:rPr>
          <w:szCs w:val="28"/>
        </w:rPr>
        <w:t>Председатель Думы города</w:t>
      </w:r>
      <w:r w:rsidRPr="00B55A96">
        <w:rPr>
          <w:szCs w:val="28"/>
        </w:rPr>
        <w:tab/>
      </w:r>
      <w:r w:rsidRPr="00B55A96">
        <w:rPr>
          <w:szCs w:val="28"/>
        </w:rPr>
        <w:tab/>
      </w:r>
      <w:r w:rsidRPr="00B55A96">
        <w:rPr>
          <w:szCs w:val="28"/>
        </w:rPr>
        <w:tab/>
      </w:r>
      <w:r w:rsidRPr="00B55A96">
        <w:rPr>
          <w:szCs w:val="28"/>
        </w:rPr>
        <w:tab/>
      </w:r>
      <w:r w:rsidRPr="00B55A96">
        <w:rPr>
          <w:szCs w:val="28"/>
        </w:rPr>
        <w:tab/>
      </w:r>
      <w:r w:rsidRPr="00B55A96">
        <w:rPr>
          <w:szCs w:val="28"/>
        </w:rPr>
        <w:tab/>
      </w:r>
      <w:r>
        <w:rPr>
          <w:szCs w:val="28"/>
        </w:rPr>
        <w:tab/>
        <w:t>М.Н. Слепов</w:t>
      </w:r>
    </w:p>
    <w:p w:rsidR="00DC313D" w:rsidRPr="00B55A96" w:rsidRDefault="00DC313D" w:rsidP="00DC313D">
      <w:pPr>
        <w:rPr>
          <w:szCs w:val="28"/>
        </w:rPr>
      </w:pPr>
    </w:p>
    <w:p w:rsidR="007F3370" w:rsidRDefault="00DC313D" w:rsidP="00E91C0B">
      <w:pPr>
        <w:jc w:val="right"/>
        <w:rPr>
          <w:rFonts w:eastAsia="Times New Roman" w:cs="Times New Roman"/>
          <w:szCs w:val="20"/>
          <w:lang w:eastAsia="ru-RU"/>
        </w:rPr>
      </w:pPr>
      <w:r w:rsidRPr="00DC313D">
        <w:rPr>
          <w:rFonts w:eastAsia="Times New Roman" w:cs="Times New Roman"/>
          <w:szCs w:val="20"/>
          <w:lang w:eastAsia="ru-RU"/>
        </w:rPr>
        <w:t xml:space="preserve"> </w:t>
      </w:r>
      <w:r w:rsidR="00C61D0B">
        <w:rPr>
          <w:rFonts w:eastAsia="Times New Roman" w:cs="Times New Roman"/>
          <w:szCs w:val="20"/>
          <w:lang w:eastAsia="ru-RU"/>
        </w:rPr>
        <w:t>«</w:t>
      </w:r>
      <w:r w:rsidR="00C61D0B">
        <w:rPr>
          <w:rFonts w:eastAsia="Times New Roman" w:cs="Times New Roman"/>
          <w:szCs w:val="20"/>
          <w:u w:val="single"/>
          <w:lang w:eastAsia="ru-RU"/>
        </w:rPr>
        <w:t>05</w:t>
      </w:r>
      <w:r w:rsidR="00C61D0B">
        <w:rPr>
          <w:rFonts w:eastAsia="Times New Roman" w:cs="Times New Roman"/>
          <w:szCs w:val="20"/>
          <w:lang w:eastAsia="ru-RU"/>
        </w:rPr>
        <w:t xml:space="preserve">» </w:t>
      </w:r>
      <w:r w:rsidR="00C61D0B">
        <w:rPr>
          <w:rFonts w:eastAsia="Times New Roman" w:cs="Times New Roman"/>
          <w:szCs w:val="20"/>
          <w:u w:val="single"/>
          <w:lang w:eastAsia="ru-RU"/>
        </w:rPr>
        <w:t>апреля</w:t>
      </w:r>
      <w:r w:rsidR="008673F5">
        <w:rPr>
          <w:rFonts w:eastAsia="Times New Roman" w:cs="Times New Roman"/>
          <w:szCs w:val="20"/>
          <w:lang w:eastAsia="ru-RU"/>
        </w:rPr>
        <w:t xml:space="preserve"> 202</w:t>
      </w:r>
      <w:r w:rsidR="00C146BA">
        <w:rPr>
          <w:rFonts w:eastAsia="Times New Roman" w:cs="Times New Roman"/>
          <w:szCs w:val="20"/>
          <w:lang w:eastAsia="ru-RU"/>
        </w:rPr>
        <w:t>2</w:t>
      </w:r>
      <w:r w:rsidR="008673F5">
        <w:rPr>
          <w:rFonts w:eastAsia="Times New Roman" w:cs="Times New Roman"/>
          <w:szCs w:val="20"/>
          <w:lang w:eastAsia="ru-RU"/>
        </w:rPr>
        <w:t xml:space="preserve"> г.</w:t>
      </w:r>
    </w:p>
    <w:p w:rsidR="00C146BA" w:rsidRDefault="00C146BA" w:rsidP="00E91C0B">
      <w:pPr>
        <w:jc w:val="right"/>
        <w:rPr>
          <w:rFonts w:eastAsia="Times New Roman" w:cs="Times New Roman"/>
          <w:szCs w:val="20"/>
          <w:lang w:eastAsia="ru-RU"/>
        </w:rPr>
      </w:pPr>
    </w:p>
    <w:p w:rsidR="00C146BA" w:rsidRDefault="00C146BA">
      <w:pPr>
        <w:spacing w:after="200" w:line="276" w:lineRule="auto"/>
        <w:jc w:val="left"/>
        <w:rPr>
          <w:rFonts w:eastAsia="Times New Roman" w:cs="Times New Roman"/>
          <w:szCs w:val="20"/>
          <w:lang w:eastAsia="ru-RU"/>
        </w:rPr>
      </w:pPr>
    </w:p>
    <w:p w:rsidR="007C5F35" w:rsidRDefault="007C5F35">
      <w:pPr>
        <w:spacing w:after="200" w:line="276" w:lineRule="auto"/>
        <w:jc w:val="left"/>
        <w:rPr>
          <w:rFonts w:eastAsia="Times New Roman" w:cs="Times New Roman"/>
          <w:szCs w:val="20"/>
          <w:lang w:eastAsia="ru-RU"/>
        </w:rPr>
        <w:sectPr w:rsidR="007C5F35" w:rsidSect="00C146BA">
          <w:footerReference w:type="even" r:id="rId8"/>
          <w:footerReference w:type="default" r:id="rId9"/>
          <w:footerReference w:type="first" r:id="rId10"/>
          <w:pgSz w:w="11906" w:h="16838" w:code="9"/>
          <w:pgMar w:top="1134" w:right="851" w:bottom="1134" w:left="1701" w:header="709" w:footer="737" w:gutter="0"/>
          <w:pgNumType w:start="2"/>
          <w:cols w:space="708"/>
          <w:docGrid w:linePitch="381"/>
        </w:sectPr>
      </w:pPr>
    </w:p>
    <w:p w:rsidR="007C5F35" w:rsidRPr="007C5F35" w:rsidRDefault="007C5F35" w:rsidP="007C5F35">
      <w:pPr>
        <w:widowControl w:val="0"/>
        <w:autoSpaceDE w:val="0"/>
        <w:autoSpaceDN w:val="0"/>
        <w:adjustRightInd w:val="0"/>
        <w:ind w:left="11057"/>
        <w:rPr>
          <w:rFonts w:eastAsia="Times New Roman" w:cs="Times New Roman"/>
          <w:bCs/>
          <w:color w:val="000000"/>
          <w:szCs w:val="28"/>
          <w:lang w:eastAsia="ru-RU"/>
        </w:rPr>
      </w:pPr>
      <w:r w:rsidRPr="007C5F35">
        <w:rPr>
          <w:rFonts w:eastAsia="Times New Roman" w:cs="Times New Roman"/>
          <w:bCs/>
          <w:color w:val="000000"/>
          <w:szCs w:val="28"/>
          <w:lang w:eastAsia="ru-RU"/>
        </w:rPr>
        <w:lastRenderedPageBreak/>
        <w:t xml:space="preserve">Приложение </w:t>
      </w:r>
    </w:p>
    <w:p w:rsidR="007C5F35" w:rsidRDefault="007C5F35" w:rsidP="007C5F35">
      <w:pPr>
        <w:widowControl w:val="0"/>
        <w:autoSpaceDE w:val="0"/>
        <w:autoSpaceDN w:val="0"/>
        <w:adjustRightInd w:val="0"/>
        <w:ind w:left="11057"/>
        <w:rPr>
          <w:rFonts w:eastAsia="Times New Roman" w:cs="Times New Roman"/>
          <w:bCs/>
          <w:color w:val="000000"/>
          <w:szCs w:val="28"/>
          <w:lang w:eastAsia="ru-RU"/>
        </w:rPr>
      </w:pPr>
      <w:r w:rsidRPr="007C5F35">
        <w:rPr>
          <w:rFonts w:eastAsia="Times New Roman" w:cs="Times New Roman"/>
          <w:bCs/>
          <w:color w:val="000000"/>
          <w:szCs w:val="28"/>
          <w:lang w:eastAsia="ru-RU"/>
        </w:rPr>
        <w:t xml:space="preserve">к </w:t>
      </w:r>
      <w:hyperlink w:anchor="sub_0" w:history="1">
        <w:r w:rsidRPr="007C5F35">
          <w:rPr>
            <w:rFonts w:eastAsia="Times New Roman" w:cs="Times New Roman"/>
            <w:color w:val="000000"/>
            <w:szCs w:val="28"/>
            <w:lang w:eastAsia="ru-RU"/>
          </w:rPr>
          <w:t>решению</w:t>
        </w:r>
      </w:hyperlink>
      <w:r w:rsidRPr="007C5F35">
        <w:rPr>
          <w:rFonts w:eastAsia="Times New Roman" w:cs="Times New Roman"/>
          <w:bCs/>
          <w:color w:val="000000"/>
          <w:szCs w:val="28"/>
          <w:lang w:eastAsia="ru-RU"/>
        </w:rPr>
        <w:t xml:space="preserve"> Думы города </w:t>
      </w:r>
    </w:p>
    <w:p w:rsidR="007C5F35" w:rsidRPr="00C61D0B" w:rsidRDefault="00C61D0B" w:rsidP="007C5F35">
      <w:pPr>
        <w:widowControl w:val="0"/>
        <w:autoSpaceDE w:val="0"/>
        <w:autoSpaceDN w:val="0"/>
        <w:adjustRightInd w:val="0"/>
        <w:ind w:left="11057"/>
        <w:rPr>
          <w:rFonts w:eastAsia="Times New Roman" w:cs="Times New Roman"/>
          <w:b/>
          <w:szCs w:val="28"/>
          <w:u w:val="single"/>
          <w:lang w:eastAsia="ru-RU"/>
        </w:rPr>
      </w:pPr>
      <w:r>
        <w:rPr>
          <w:rFonts w:eastAsia="Times New Roman" w:cs="Times New Roman"/>
          <w:bCs/>
          <w:color w:val="000000"/>
          <w:szCs w:val="28"/>
          <w:lang w:eastAsia="ru-RU"/>
        </w:rPr>
        <w:t xml:space="preserve">от </w:t>
      </w:r>
      <w:r>
        <w:rPr>
          <w:rFonts w:eastAsia="Times New Roman" w:cs="Times New Roman"/>
          <w:bCs/>
          <w:color w:val="000000"/>
          <w:szCs w:val="28"/>
          <w:u w:val="single"/>
          <w:lang w:eastAsia="ru-RU"/>
        </w:rPr>
        <w:t>05.04.2022</w:t>
      </w:r>
      <w:r>
        <w:rPr>
          <w:rFonts w:eastAsia="Times New Roman" w:cs="Times New Roman"/>
          <w:bCs/>
          <w:color w:val="000000"/>
          <w:szCs w:val="28"/>
          <w:lang w:eastAsia="ru-RU"/>
        </w:rPr>
        <w:t xml:space="preserve"> № </w:t>
      </w:r>
      <w:r>
        <w:rPr>
          <w:rFonts w:eastAsia="Times New Roman" w:cs="Times New Roman"/>
          <w:bCs/>
          <w:color w:val="000000"/>
          <w:szCs w:val="28"/>
          <w:u w:val="single"/>
          <w:lang w:eastAsia="ru-RU"/>
        </w:rPr>
        <w:t>102-</w:t>
      </w:r>
      <w:r>
        <w:rPr>
          <w:rFonts w:eastAsia="Times New Roman" w:cs="Times New Roman"/>
          <w:bCs/>
          <w:color w:val="000000"/>
          <w:szCs w:val="28"/>
          <w:u w:val="single"/>
          <w:lang w:val="en-US" w:eastAsia="ru-RU"/>
        </w:rPr>
        <w:t xml:space="preserve">VII </w:t>
      </w:r>
      <w:r>
        <w:rPr>
          <w:rFonts w:eastAsia="Times New Roman" w:cs="Times New Roman"/>
          <w:bCs/>
          <w:color w:val="000000"/>
          <w:szCs w:val="28"/>
          <w:u w:val="single"/>
          <w:lang w:eastAsia="ru-RU"/>
        </w:rPr>
        <w:t>ДГ</w:t>
      </w:r>
    </w:p>
    <w:p w:rsidR="007C5F35" w:rsidRPr="007C5F35" w:rsidRDefault="007C5F35" w:rsidP="007C5F35">
      <w:pPr>
        <w:widowControl w:val="0"/>
        <w:autoSpaceDE w:val="0"/>
        <w:autoSpaceDN w:val="0"/>
        <w:adjustRightInd w:val="0"/>
        <w:ind w:left="11340"/>
        <w:rPr>
          <w:rFonts w:eastAsia="Times New Roman" w:cs="Times New Roman"/>
          <w:sz w:val="24"/>
          <w:szCs w:val="24"/>
          <w:lang w:eastAsia="ru-RU"/>
        </w:rPr>
      </w:pPr>
    </w:p>
    <w:p w:rsidR="007C5F35" w:rsidRPr="00C61D0B" w:rsidRDefault="006E7729" w:rsidP="007C5F35">
      <w:pPr>
        <w:widowControl w:val="0"/>
        <w:autoSpaceDE w:val="0"/>
        <w:autoSpaceDN w:val="0"/>
        <w:adjustRightInd w:val="0"/>
        <w:ind w:left="11057"/>
        <w:rPr>
          <w:rFonts w:eastAsia="Times New Roman" w:cs="Times New Roman"/>
          <w:bCs/>
          <w:color w:val="000000"/>
          <w:szCs w:val="28"/>
          <w:lang w:eastAsia="ru-RU"/>
        </w:rPr>
      </w:pPr>
      <w:r>
        <w:rPr>
          <w:rFonts w:eastAsia="Times New Roman" w:cs="Times New Roman"/>
          <w:bCs/>
          <w:color w:val="000000"/>
          <w:szCs w:val="28"/>
          <w:lang w:eastAsia="ru-RU"/>
        </w:rPr>
        <w:t>«</w:t>
      </w:r>
      <w:r w:rsidR="007C5F35" w:rsidRPr="007C5F35">
        <w:rPr>
          <w:rFonts w:eastAsia="Times New Roman" w:cs="Times New Roman"/>
          <w:bCs/>
          <w:color w:val="000000"/>
          <w:szCs w:val="28"/>
          <w:lang w:eastAsia="ru-RU"/>
        </w:rPr>
        <w:t xml:space="preserve">Приложение </w:t>
      </w:r>
      <w:r w:rsidR="007C5F35" w:rsidRPr="00C61D0B">
        <w:rPr>
          <w:rFonts w:eastAsia="Times New Roman" w:cs="Times New Roman"/>
          <w:bCs/>
          <w:color w:val="000000"/>
          <w:szCs w:val="28"/>
          <w:lang w:eastAsia="ru-RU"/>
        </w:rPr>
        <w:t>2</w:t>
      </w:r>
    </w:p>
    <w:p w:rsidR="007C5F35" w:rsidRDefault="007C5F35" w:rsidP="007C5F35">
      <w:pPr>
        <w:widowControl w:val="0"/>
        <w:autoSpaceDE w:val="0"/>
        <w:autoSpaceDN w:val="0"/>
        <w:adjustRightInd w:val="0"/>
        <w:ind w:left="11057"/>
        <w:rPr>
          <w:rFonts w:eastAsia="Times New Roman" w:cs="Times New Roman"/>
          <w:bCs/>
          <w:color w:val="000000"/>
          <w:szCs w:val="28"/>
          <w:lang w:eastAsia="ru-RU"/>
        </w:rPr>
      </w:pPr>
      <w:r w:rsidRPr="007C5F35">
        <w:rPr>
          <w:rFonts w:eastAsia="Times New Roman" w:cs="Times New Roman"/>
          <w:bCs/>
          <w:color w:val="000000"/>
          <w:szCs w:val="28"/>
          <w:lang w:eastAsia="ru-RU"/>
        </w:rPr>
        <w:t xml:space="preserve">к </w:t>
      </w:r>
      <w:hyperlink w:anchor="sub_0" w:history="1">
        <w:r w:rsidRPr="007C5F35">
          <w:rPr>
            <w:rFonts w:eastAsia="Times New Roman" w:cs="Times New Roman"/>
            <w:color w:val="000000"/>
            <w:szCs w:val="28"/>
            <w:lang w:eastAsia="ru-RU"/>
          </w:rPr>
          <w:t>решению</w:t>
        </w:r>
      </w:hyperlink>
      <w:r w:rsidRPr="007C5F35">
        <w:rPr>
          <w:rFonts w:eastAsia="Times New Roman" w:cs="Times New Roman"/>
          <w:bCs/>
          <w:color w:val="000000"/>
          <w:szCs w:val="28"/>
          <w:lang w:eastAsia="ru-RU"/>
        </w:rPr>
        <w:t xml:space="preserve"> Думы города </w:t>
      </w:r>
    </w:p>
    <w:p w:rsidR="007C5F35" w:rsidRPr="007C5F35" w:rsidRDefault="007C5F35" w:rsidP="007C5F35">
      <w:pPr>
        <w:widowControl w:val="0"/>
        <w:autoSpaceDE w:val="0"/>
        <w:autoSpaceDN w:val="0"/>
        <w:adjustRightInd w:val="0"/>
        <w:ind w:left="11057"/>
        <w:rPr>
          <w:rFonts w:eastAsia="Times New Roman" w:cs="Times New Roman"/>
          <w:sz w:val="24"/>
          <w:szCs w:val="24"/>
          <w:lang w:eastAsia="ru-RU"/>
        </w:rPr>
      </w:pPr>
      <w:r w:rsidRPr="007C5F35">
        <w:rPr>
          <w:rFonts w:eastAsia="Times New Roman" w:cs="Times New Roman"/>
          <w:bCs/>
          <w:color w:val="000000"/>
          <w:szCs w:val="28"/>
          <w:lang w:eastAsia="ru-RU"/>
        </w:rPr>
        <w:t xml:space="preserve">от </w:t>
      </w:r>
      <w:r w:rsidRPr="006E7729">
        <w:rPr>
          <w:rFonts w:eastAsia="Times New Roman" w:cs="Times New Roman"/>
          <w:bCs/>
          <w:color w:val="000000"/>
          <w:szCs w:val="28"/>
          <w:u w:val="single"/>
          <w:lang w:eastAsia="ru-RU"/>
        </w:rPr>
        <w:t>29.10.2021</w:t>
      </w:r>
      <w:r w:rsidRPr="007C5F35">
        <w:rPr>
          <w:rFonts w:eastAsia="Times New Roman" w:cs="Times New Roman"/>
          <w:bCs/>
          <w:color w:val="000000"/>
          <w:szCs w:val="28"/>
          <w:lang w:eastAsia="ru-RU"/>
        </w:rPr>
        <w:t xml:space="preserve"> № </w:t>
      </w:r>
      <w:r w:rsidRPr="006E7729">
        <w:rPr>
          <w:rFonts w:eastAsia="Times New Roman" w:cs="Times New Roman"/>
          <w:bCs/>
          <w:color w:val="000000"/>
          <w:szCs w:val="28"/>
          <w:u w:val="single"/>
          <w:lang w:eastAsia="ru-RU"/>
        </w:rPr>
        <w:t>7-</w:t>
      </w:r>
      <w:r w:rsidRPr="007C5F35">
        <w:rPr>
          <w:rFonts w:eastAsia="Times New Roman" w:cs="Times New Roman"/>
          <w:bCs/>
          <w:color w:val="000000"/>
          <w:szCs w:val="28"/>
          <w:u w:val="single"/>
          <w:lang w:val="en-US" w:eastAsia="ru-RU"/>
        </w:rPr>
        <w:t>VII</w:t>
      </w:r>
      <w:r w:rsidR="006E7729">
        <w:rPr>
          <w:rFonts w:eastAsia="Times New Roman" w:cs="Times New Roman"/>
          <w:bCs/>
          <w:color w:val="000000"/>
          <w:szCs w:val="28"/>
          <w:u w:val="single"/>
          <w:lang w:eastAsia="ru-RU"/>
        </w:rPr>
        <w:t xml:space="preserve"> </w:t>
      </w:r>
      <w:r w:rsidRPr="007C5F35">
        <w:rPr>
          <w:rFonts w:eastAsia="Times New Roman" w:cs="Times New Roman"/>
          <w:bCs/>
          <w:color w:val="000000"/>
          <w:szCs w:val="28"/>
          <w:u w:val="single"/>
          <w:lang w:eastAsia="ru-RU"/>
        </w:rPr>
        <w:t>ДГ</w:t>
      </w:r>
      <w:r w:rsidRPr="006E7729">
        <w:rPr>
          <w:rFonts w:eastAsia="Times New Roman" w:cs="Times New Roman"/>
          <w:bCs/>
          <w:color w:val="000000"/>
          <w:szCs w:val="28"/>
          <w:lang w:eastAsia="ru-RU"/>
        </w:rPr>
        <w:t xml:space="preserve"> </w:t>
      </w:r>
    </w:p>
    <w:p w:rsidR="007C5F35" w:rsidRPr="007C5F35" w:rsidRDefault="007C5F35" w:rsidP="007C5F35">
      <w:pPr>
        <w:widowControl w:val="0"/>
        <w:autoSpaceDE w:val="0"/>
        <w:autoSpaceDN w:val="0"/>
        <w:adjustRightInd w:val="0"/>
        <w:ind w:left="11340"/>
        <w:rPr>
          <w:rFonts w:eastAsia="Times New Roman" w:cs="Times New Roman"/>
          <w:sz w:val="24"/>
          <w:szCs w:val="24"/>
          <w:lang w:eastAsia="ru-RU"/>
        </w:rPr>
      </w:pPr>
    </w:p>
    <w:p w:rsidR="007C5F35" w:rsidRPr="007C5F35" w:rsidRDefault="007C5F35" w:rsidP="007C5F35">
      <w:pPr>
        <w:widowControl w:val="0"/>
        <w:autoSpaceDE w:val="0"/>
        <w:autoSpaceDN w:val="0"/>
        <w:adjustRightInd w:val="0"/>
        <w:spacing w:before="108" w:after="108"/>
        <w:jc w:val="center"/>
        <w:outlineLvl w:val="0"/>
        <w:rPr>
          <w:rFonts w:eastAsia="Times New Roman" w:cs="Times New Roman"/>
          <w:bCs/>
          <w:color w:val="000000"/>
          <w:szCs w:val="28"/>
          <w:lang w:eastAsia="ru-RU"/>
        </w:rPr>
      </w:pPr>
      <w:r w:rsidRPr="007C5F35">
        <w:rPr>
          <w:rFonts w:eastAsia="Times New Roman" w:cs="Times New Roman"/>
          <w:bCs/>
          <w:color w:val="000000"/>
          <w:szCs w:val="28"/>
          <w:lang w:eastAsia="ru-RU"/>
        </w:rPr>
        <w:t xml:space="preserve">Показатели оценки </w:t>
      </w:r>
      <w:bookmarkStart w:id="0" w:name="_GoBack"/>
      <w:bookmarkEnd w:id="0"/>
      <w:r w:rsidRPr="007C5F35">
        <w:rPr>
          <w:rFonts w:eastAsia="Times New Roman" w:cs="Times New Roman"/>
          <w:bCs/>
          <w:color w:val="000000"/>
          <w:szCs w:val="28"/>
          <w:lang w:eastAsia="ru-RU"/>
        </w:rPr>
        <w:br/>
        <w:t>деятельности Администрации города по результатам ежегодного отчёта о её деятельности</w:t>
      </w:r>
    </w:p>
    <w:p w:rsidR="007C5F35" w:rsidRPr="007C5F35" w:rsidRDefault="007C5F35" w:rsidP="007C5F35">
      <w:pPr>
        <w:widowControl w:val="0"/>
        <w:autoSpaceDE w:val="0"/>
        <w:autoSpaceDN w:val="0"/>
        <w:adjustRightInd w:val="0"/>
        <w:spacing w:before="75"/>
        <w:rPr>
          <w:rFonts w:ascii="Arial" w:eastAsia="Times New Roman" w:hAnsi="Arial" w:cs="Arial"/>
          <w:color w:val="353842"/>
          <w:sz w:val="24"/>
          <w:szCs w:val="24"/>
          <w:shd w:val="clear" w:color="auto" w:fill="F0F0F0"/>
          <w:lang w:eastAsia="ru-RU"/>
        </w:rPr>
      </w:pPr>
    </w:p>
    <w:tbl>
      <w:tblPr>
        <w:tblW w:w="14859"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00"/>
        <w:gridCol w:w="6220"/>
        <w:gridCol w:w="2127"/>
        <w:gridCol w:w="5812"/>
      </w:tblGrid>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w:t>
            </w:r>
          </w:p>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п/п</w:t>
            </w:r>
          </w:p>
        </w:tc>
        <w:tc>
          <w:tcPr>
            <w:tcW w:w="6220" w:type="dxa"/>
            <w:tcBorders>
              <w:top w:val="single" w:sz="4" w:space="0" w:color="auto"/>
              <w:left w:val="single" w:sz="4" w:space="0" w:color="auto"/>
              <w:bottom w:val="single" w:sz="4" w:space="0" w:color="auto"/>
              <w:right w:val="single" w:sz="4" w:space="0" w:color="auto"/>
            </w:tcBorders>
          </w:tcPr>
          <w:p w:rsidR="002127BA"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Вопросы местного значения, отдельные </w:t>
            </w:r>
          </w:p>
          <w:p w:rsidR="002127BA"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переданные государственные полномочия, </w:t>
            </w:r>
          </w:p>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реализуемые Администрацией города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Индивидуальный</w:t>
            </w:r>
          </w:p>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код</w:t>
            </w:r>
          </w:p>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показателя </w:t>
            </w:r>
            <w:hyperlink w:anchor="sub_22" w:history="1">
              <w:r w:rsidRPr="007C5F35">
                <w:rPr>
                  <w:rFonts w:eastAsia="Times New Roman" w:cs="Times New Roman"/>
                  <w:bCs/>
                  <w:color w:val="000000"/>
                  <w:sz w:val="24"/>
                  <w:szCs w:val="24"/>
                  <w:lang w:eastAsia="ru-RU"/>
                </w:rPr>
                <w:t>*</w:t>
              </w:r>
            </w:hyperlink>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Наименование показателя</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Составление и рассмотрение проекта бюджета городского округа, утверждение и исполнение бюджета городского округа, осуществление контроля за его исполнением, составление и утверждение отчёта об исполнении бюджета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Соблюдение требований к содержанию проекта решения о бюджете городского округа, составу годового отчёта об исполнении бюджета городского округа, установленных </w:t>
            </w:r>
            <w:hyperlink r:id="rId11" w:history="1">
              <w:r w:rsidRPr="007C5F35">
                <w:rPr>
                  <w:rFonts w:eastAsia="Times New Roman" w:cs="Times New Roman"/>
                  <w:bCs/>
                  <w:color w:val="000000"/>
                  <w:sz w:val="24"/>
                  <w:szCs w:val="24"/>
                  <w:lang w:eastAsia="ru-RU"/>
                </w:rPr>
                <w:t>Бюджетным кодексом</w:t>
              </w:r>
            </w:hyperlink>
            <w:r w:rsidRPr="007C5F35">
              <w:rPr>
                <w:rFonts w:eastAsia="Times New Roman" w:cs="Times New Roman"/>
                <w:bCs/>
                <w:color w:val="000000"/>
                <w:sz w:val="24"/>
                <w:szCs w:val="24"/>
                <w:lang w:eastAsia="ru-RU"/>
              </w:rPr>
              <w:t xml:space="preserve"> Российской Федерации и Положением о бюджетном процессе в городском округе Сургут</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Процент исполнения бюджета по доходам без учёта безвозмездных поступлений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Процент исполнения бюджета по расходам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бюджета муниципального образования (без учёта субвенций)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Расходы бюджета городского округа на содержание работников органов местного самоуправления            </w:t>
            </w:r>
            <w:r w:rsidRPr="007C5F35">
              <w:rPr>
                <w:rFonts w:eastAsia="Times New Roman" w:cs="Times New Roman"/>
                <w:bCs/>
                <w:color w:val="000000"/>
                <w:sz w:val="24"/>
                <w:szCs w:val="24"/>
                <w:lang w:eastAsia="ru-RU"/>
              </w:rPr>
              <w:lastRenderedPageBreak/>
              <w:t>в расчёте на одного жителя городского округа (руб.)</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просроченной кредиторской задолженности            по оплате труда (включая начисления на оплату труда) муниципальных учреждений в общем объёме расходов муниципального образования на оплату труда (включая начисления на оплату труда) (%)</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Установление, изменение и отмена местных налогов             и сборов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Соблюдение сроков и требований, установленных законодательством Российской Федерации                        по вопросам установления, изменения и отмены местных налогов и сборов</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Владение, пользование и распоряжение имуществом, находящимся в муниципальной собственности городского округа</w:t>
            </w: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объектов муниципальной собственности, находящихся в казне, на конец отчётного периода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объектов недвижимого имущества, переданных во владение и (или) пользование               за отчётный период (ед.):</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 аренду;</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 безвозмездное пользование;</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 концессию</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объектов недвижимого имущества, отчуждённых из муниципальной собственности            за отчётный период, всего (ед.), из них:</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отчуждённого в рамках приватизации муниципального имущества, за исключением жилищного фонда (ед.);</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отчуждённых муниципальными унитарными предприятиями в рамках заключённых договоров купли-продажи (ед.);</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отчуждённого в рамках приватизации муниципального жилищного фонда (ед.);</w:t>
            </w:r>
          </w:p>
          <w:p w:rsid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отчуждённого в соответствии с гражданско-правовыми договорами (ед.)</w:t>
            </w:r>
          </w:p>
          <w:p w:rsidR="006E1A1C" w:rsidRPr="007C5F35" w:rsidRDefault="006E1A1C" w:rsidP="007C5F35">
            <w:pPr>
              <w:widowControl w:val="0"/>
              <w:autoSpaceDE w:val="0"/>
              <w:autoSpaceDN w:val="0"/>
              <w:adjustRightInd w:val="0"/>
              <w:ind w:firstLine="312"/>
              <w:rPr>
                <w:rFonts w:eastAsia="Times New Roman" w:cs="Times New Roman"/>
                <w:bCs/>
                <w:color w:val="000000"/>
                <w:sz w:val="24"/>
                <w:szCs w:val="24"/>
                <w:lang w:eastAsia="ru-RU"/>
              </w:rPr>
            </w:pP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Увеличение количества объектов имущества                 в перечне муниципального имущества, предназначенного для передачи во владение и (или)   в пользование субъектам малого и среднего предпринимательства, в отчётном периоде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включённых в перечень муниципального имущества, в общем количестве объектов недвижимого имущества, включённых              в перечень муниципального имущества, предназначенного для передачи во владение и (или)   в пользование субъектам малого и среднего предпринимательства, за отчётный период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в границах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твёрдых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процентов, в общем числе организаций коммунального комплекса, осуществляющих свою деятельность на территории городского округа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14</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Фактический уровень собираемости платы граждан  за предоставленные жилищно-коммунальные услуги за отчётный период (%)</w:t>
            </w:r>
          </w:p>
          <w:p w:rsidR="006E1A1C" w:rsidRPr="007C5F35" w:rsidRDefault="006E1A1C" w:rsidP="007C5F35">
            <w:pPr>
              <w:widowControl w:val="0"/>
              <w:autoSpaceDE w:val="0"/>
              <w:autoSpaceDN w:val="0"/>
              <w:adjustRightInd w:val="0"/>
              <w:rPr>
                <w:rFonts w:eastAsia="Times New Roman" w:cs="Times New Roman"/>
                <w:bCs/>
                <w:color w:val="000000"/>
                <w:sz w:val="24"/>
                <w:szCs w:val="24"/>
                <w:lang w:eastAsia="ru-RU"/>
              </w:rPr>
            </w:pP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15</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отключений на муниципальных источниках, вызвавших остановку тепловодоснабжения у потребителей за отчётный период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16</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 xml:space="preserve">Удельная величина потребления энергетических ресурсов муниципальными бюджетными </w:t>
            </w:r>
            <w:r w:rsidRPr="007C5F35">
              <w:rPr>
                <w:rFonts w:eastAsia="Times New Roman" w:cs="Times New Roman"/>
                <w:bCs/>
                <w:sz w:val="24"/>
                <w:szCs w:val="24"/>
                <w:lang w:eastAsia="ru-RU"/>
              </w:rPr>
              <w:t xml:space="preserve">учреждениями: </w:t>
            </w:r>
          </w:p>
          <w:p w:rsidR="007C5F35" w:rsidRPr="007C5F35" w:rsidRDefault="007C5F35" w:rsidP="007C5F35">
            <w:pPr>
              <w:widowControl w:val="0"/>
              <w:autoSpaceDE w:val="0"/>
              <w:autoSpaceDN w:val="0"/>
              <w:adjustRightInd w:val="0"/>
              <w:ind w:firstLine="312"/>
              <w:rPr>
                <w:rFonts w:eastAsia="Times New Roman" w:cs="Times New Roman"/>
                <w:bCs/>
                <w:sz w:val="24"/>
                <w:szCs w:val="24"/>
                <w:lang w:eastAsia="ru-RU"/>
              </w:rPr>
            </w:pPr>
            <w:r w:rsidRPr="007C5F35">
              <w:rPr>
                <w:rFonts w:eastAsia="Times New Roman" w:cs="Times New Roman"/>
                <w:bCs/>
                <w:sz w:val="24"/>
                <w:szCs w:val="24"/>
                <w:lang w:eastAsia="ru-RU"/>
              </w:rPr>
              <w:t>электрическая энергия (кВт.ч на 1 человека населения);</w:t>
            </w:r>
          </w:p>
          <w:p w:rsidR="007C5F35" w:rsidRPr="007C5F35" w:rsidRDefault="007C5F35" w:rsidP="007C5F35">
            <w:pPr>
              <w:widowControl w:val="0"/>
              <w:autoSpaceDE w:val="0"/>
              <w:autoSpaceDN w:val="0"/>
              <w:adjustRightInd w:val="0"/>
              <w:ind w:firstLine="312"/>
              <w:rPr>
                <w:rFonts w:eastAsia="Times New Roman" w:cs="Times New Roman"/>
                <w:bCs/>
                <w:sz w:val="24"/>
                <w:szCs w:val="24"/>
                <w:lang w:eastAsia="ru-RU"/>
              </w:rPr>
            </w:pPr>
            <w:r w:rsidRPr="007C5F35">
              <w:rPr>
                <w:rFonts w:eastAsia="Times New Roman" w:cs="Times New Roman"/>
                <w:bCs/>
                <w:sz w:val="24"/>
                <w:szCs w:val="24"/>
                <w:lang w:eastAsia="ru-RU"/>
              </w:rPr>
              <w:t>тепловая энергия (Гкал на 1 кв. м общей площади);</w:t>
            </w:r>
          </w:p>
          <w:p w:rsidR="007C5F35" w:rsidRPr="007C5F35" w:rsidRDefault="007C5F35" w:rsidP="007C5F35">
            <w:pPr>
              <w:widowControl w:val="0"/>
              <w:autoSpaceDE w:val="0"/>
              <w:autoSpaceDN w:val="0"/>
              <w:adjustRightInd w:val="0"/>
              <w:ind w:firstLine="312"/>
              <w:rPr>
                <w:rFonts w:eastAsia="Times New Roman" w:cs="Times New Roman"/>
                <w:bCs/>
                <w:sz w:val="24"/>
                <w:szCs w:val="24"/>
                <w:lang w:eastAsia="ru-RU"/>
              </w:rPr>
            </w:pPr>
            <w:r w:rsidRPr="007C5F35">
              <w:rPr>
                <w:rFonts w:eastAsia="Times New Roman" w:cs="Times New Roman"/>
                <w:bCs/>
                <w:sz w:val="24"/>
                <w:szCs w:val="24"/>
                <w:lang w:eastAsia="ru-RU"/>
              </w:rPr>
              <w:t>горячая вода (куб. м на 1 человека населения);</w:t>
            </w:r>
          </w:p>
          <w:p w:rsidR="007C5F35" w:rsidRPr="007C5F35" w:rsidRDefault="007C5F35" w:rsidP="007C5F35">
            <w:pPr>
              <w:widowControl w:val="0"/>
              <w:autoSpaceDE w:val="0"/>
              <w:autoSpaceDN w:val="0"/>
              <w:adjustRightInd w:val="0"/>
              <w:ind w:firstLine="312"/>
              <w:rPr>
                <w:rFonts w:eastAsia="Times New Roman" w:cs="Times New Roman"/>
                <w:bCs/>
                <w:sz w:val="24"/>
                <w:szCs w:val="24"/>
                <w:lang w:eastAsia="ru-RU"/>
              </w:rPr>
            </w:pPr>
            <w:r w:rsidRPr="007C5F35">
              <w:rPr>
                <w:rFonts w:eastAsia="Times New Roman" w:cs="Times New Roman"/>
                <w:bCs/>
                <w:sz w:val="24"/>
                <w:szCs w:val="24"/>
                <w:lang w:eastAsia="ru-RU"/>
              </w:rPr>
              <w:t>холодная вода (куб. м на 1 человека населения);</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sz w:val="24"/>
                <w:szCs w:val="24"/>
                <w:lang w:eastAsia="ru-RU"/>
              </w:rPr>
              <w:t>природный газ (куб. м на 1 человека населения)</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17</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заёмных средств в общем объёме капитальных вложений в системы тепло-, водоснабжения, водоотведения и очистки сточных вод                                (по муниципальным унитарным предприятиям коммунального комплекса)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18</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Удельная величина потребления энергетических ресурсов в многоквартирных домах:</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электрическая энергия (кВт.ч на 1 проживающего);</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тепловая энергия (Гкал на 1 кв. м общей площади);</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горячая вода (куб. м на 1 проживающего);</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холодная вода (куб. м на 1 проживающего);</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природный газ (куб. м на 1 проживающего)</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bookmarkStart w:id="1" w:name="sub_205"/>
            <w:r w:rsidRPr="007C5F35">
              <w:rPr>
                <w:rFonts w:eastAsia="Times New Roman" w:cs="Times New Roman"/>
                <w:bCs/>
                <w:color w:val="000000"/>
                <w:sz w:val="24"/>
                <w:szCs w:val="24"/>
                <w:lang w:eastAsia="ru-RU"/>
              </w:rPr>
              <w:t>5.</w:t>
            </w:r>
            <w:bookmarkEnd w:id="1"/>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tc>
      </w:tr>
      <w:tr w:rsidR="007C5F35" w:rsidRPr="007C5F35" w:rsidTr="00EE1F98">
        <w:trPr>
          <w:trHeight w:val="278"/>
        </w:trPr>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bookmarkStart w:id="2" w:name="sub_206"/>
            <w:r w:rsidRPr="007C5F35">
              <w:rPr>
                <w:rFonts w:eastAsia="Times New Roman" w:cs="Times New Roman"/>
                <w:bCs/>
                <w:color w:val="000000"/>
                <w:sz w:val="24"/>
                <w:szCs w:val="24"/>
                <w:lang w:eastAsia="ru-RU"/>
              </w:rPr>
              <w:t>6.</w:t>
            </w:r>
            <w:bookmarkEnd w:id="2"/>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Дорожная деятельность в отношении автомобильных дорог местного значения в границах городского округа         </w:t>
            </w:r>
            <w:r w:rsidRPr="007C5F35">
              <w:rPr>
                <w:rFonts w:eastAsia="Times New Roman" w:cs="Times New Roman"/>
                <w:bCs/>
                <w:color w:val="000000"/>
                <w:sz w:val="24"/>
                <w:szCs w:val="24"/>
                <w:lang w:eastAsia="ru-RU"/>
              </w:rPr>
              <w:lastRenderedPageBreak/>
              <w:t xml:space="preserve">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w:t>
            </w:r>
            <w:r w:rsidR="002127BA">
              <w:rPr>
                <w:rFonts w:eastAsia="Times New Roman" w:cs="Times New Roman"/>
                <w:bCs/>
                <w:color w:val="000000"/>
                <w:sz w:val="24"/>
                <w:szCs w:val="24"/>
                <w:lang w:eastAsia="ru-RU"/>
              </w:rPr>
              <w:t xml:space="preserve">                              </w:t>
            </w:r>
            <w:r w:rsidRPr="007C5F35">
              <w:rPr>
                <w:rFonts w:eastAsia="Times New Roman" w:cs="Times New Roman"/>
                <w:bCs/>
                <w:color w:val="000000"/>
                <w:sz w:val="24"/>
                <w:szCs w:val="24"/>
                <w:lang w:eastAsia="ru-RU"/>
              </w:rPr>
              <w:t xml:space="preserve">        с законодательством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20</w:t>
            </w:r>
          </w:p>
        </w:tc>
        <w:tc>
          <w:tcPr>
            <w:tcW w:w="5812" w:type="dxa"/>
            <w:tcBorders>
              <w:top w:val="single" w:sz="4" w:space="0" w:color="auto"/>
              <w:left w:val="single" w:sz="4" w:space="0" w:color="auto"/>
              <w:bottom w:val="single" w:sz="4" w:space="0" w:color="auto"/>
            </w:tcBorders>
          </w:tcPr>
          <w:p w:rsidR="007C5F35" w:rsidRPr="007C5F35" w:rsidRDefault="007C5F35" w:rsidP="00EE1F98">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 xml:space="preserve">Количество введённых в эксплуатацию километров дорог местного значения в границах городского </w:t>
            </w:r>
            <w:r w:rsidRPr="007C5F35">
              <w:rPr>
                <w:rFonts w:eastAsia="Times New Roman" w:cs="Times New Roman"/>
                <w:bCs/>
                <w:color w:val="000000"/>
                <w:sz w:val="24"/>
                <w:szCs w:val="24"/>
                <w:lang w:eastAsia="ru-RU"/>
              </w:rPr>
              <w:lastRenderedPageBreak/>
              <w:t>округа (км)</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Удовлетворённость жителей города качеством содержания городских улиц и дорог (в соответствии  с социологическим опросом) (балл)</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22</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протяжённости автомобильных дорог общего пользования местного назначения, не отвечающих нормативным требованиям, в общей протяжённости автомобильных дорог общего пользования местного значения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выявленных нарушений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за отчётный период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созданных парковочных мест в рамках реализации муниципальной программы «Развитие транспортной системы города Сургута на период            до 2030 года» за отчётный период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Обеспечение проживающих в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w:t>
            </w:r>
            <w:hyperlink r:id="rId12" w:history="1">
              <w:r w:rsidRPr="007C5F35">
                <w:rPr>
                  <w:rFonts w:eastAsia="Times New Roman" w:cs="Times New Roman"/>
                  <w:bCs/>
                  <w:color w:val="000000"/>
                  <w:sz w:val="24"/>
                  <w:szCs w:val="24"/>
                  <w:lang w:eastAsia="ru-RU"/>
                </w:rPr>
                <w:t>жилищным законодательством</w:t>
              </w:r>
            </w:hyperlink>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25</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Общее количество квадратных метров расселённого непригодного для проживания жилищного фонда (ветхого и аварийного жилья) (кв. м)</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26</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объёма ввода жилья в эксплуатацию                    по стандартам экономического класса в общем объёме введённого в эксплуатацию жилья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27</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Общая площадь жилых помещений, приходящаяся              в среднем на одного жителя, </w:t>
            </w:r>
            <w:r w:rsidRPr="007C5F35">
              <w:rPr>
                <w:rFonts w:eastAsia="Times New Roman" w:cs="Times New Roman"/>
                <w:szCs w:val="28"/>
                <w:lang w:eastAsia="ru-RU"/>
              </w:rPr>
              <w:t>–</w:t>
            </w:r>
            <w:r w:rsidRPr="007C5F35">
              <w:rPr>
                <w:rFonts w:eastAsia="Times New Roman" w:cs="Times New Roman"/>
                <w:sz w:val="24"/>
                <w:szCs w:val="24"/>
                <w:lang w:eastAsia="ru-RU"/>
              </w:rPr>
              <w:t xml:space="preserve"> </w:t>
            </w:r>
            <w:r w:rsidRPr="007C5F35">
              <w:rPr>
                <w:rFonts w:eastAsia="Times New Roman" w:cs="Times New Roman"/>
                <w:bCs/>
                <w:color w:val="000000"/>
                <w:sz w:val="24"/>
                <w:szCs w:val="24"/>
                <w:lang w:eastAsia="ru-RU"/>
              </w:rPr>
              <w:t>всего, в том числе введённая в эксплуатацию за один год (кв. м)</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28</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семей, состоящих на учёте на получение жилого помещения на условиях социального найма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29</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населения, получившего жилые помещения                  и улучшившего жилищные условия в отчётном году, в общей численности населения, состоящего на учёте в качестве нуждающегося в жилых помещениях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30</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семей, получивших меры государственной поддержки на улучшение жилищных условий, всего, в том числе по категории молодых семей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жилищного контроля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32</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объектов жилищного строительства </w:t>
            </w:r>
            <w:r w:rsidRPr="007C5F35">
              <w:rPr>
                <w:rFonts w:eastAsia="Times New Roman" w:cs="Times New Roman"/>
                <w:szCs w:val="28"/>
                <w:lang w:eastAsia="ru-RU"/>
              </w:rPr>
              <w:t xml:space="preserve">– </w:t>
            </w:r>
            <w:r w:rsidRPr="007C5F35">
              <w:rPr>
                <w:rFonts w:eastAsia="Times New Roman" w:cs="Times New Roman"/>
                <w:bCs/>
                <w:color w:val="000000"/>
                <w:sz w:val="24"/>
                <w:szCs w:val="24"/>
                <w:lang w:eastAsia="ru-RU"/>
              </w:rPr>
              <w:t xml:space="preserve">в течение </w:t>
            </w:r>
            <w:r>
              <w:rPr>
                <w:rFonts w:eastAsia="Times New Roman" w:cs="Times New Roman"/>
                <w:bCs/>
                <w:color w:val="000000"/>
                <w:sz w:val="24"/>
                <w:szCs w:val="24"/>
                <w:lang w:eastAsia="ru-RU"/>
              </w:rPr>
              <w:t xml:space="preserve">               </w:t>
            </w:r>
            <w:r w:rsidRPr="007C5F35">
              <w:rPr>
                <w:rFonts w:eastAsia="Times New Roman" w:cs="Times New Roman"/>
                <w:bCs/>
                <w:color w:val="000000"/>
                <w:sz w:val="24"/>
                <w:szCs w:val="24"/>
                <w:lang w:eastAsia="ru-RU"/>
              </w:rPr>
              <w:t xml:space="preserve">   3 лет;</w:t>
            </w:r>
          </w:p>
          <w:p w:rsidR="007C5F35" w:rsidRPr="007C5F35" w:rsidRDefault="007C5F35" w:rsidP="007C5F35">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иных объектов капитального строительства </w:t>
            </w:r>
            <w:r w:rsidRPr="007C5F35">
              <w:rPr>
                <w:rFonts w:eastAsia="Times New Roman" w:cs="Times New Roman"/>
                <w:szCs w:val="28"/>
                <w:lang w:eastAsia="ru-RU"/>
              </w:rPr>
              <w:t xml:space="preserve">–           </w:t>
            </w:r>
            <w:r>
              <w:rPr>
                <w:rFonts w:eastAsia="Times New Roman" w:cs="Times New Roman"/>
                <w:szCs w:val="28"/>
                <w:lang w:eastAsia="ru-RU"/>
              </w:rPr>
              <w:t xml:space="preserve"> </w:t>
            </w:r>
            <w:r w:rsidRPr="007C5F35">
              <w:rPr>
                <w:rFonts w:eastAsia="Times New Roman" w:cs="Times New Roman"/>
                <w:bCs/>
                <w:color w:val="000000"/>
                <w:sz w:val="24"/>
                <w:szCs w:val="24"/>
                <w:lang w:eastAsia="ru-RU"/>
              </w:rPr>
              <w:t>в течение 5 лет</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33</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Площадь земельных участков, предоставленных               для строительства в расчёте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предоставления транспортных услуг населению и организация транспортного обслуживания населения в границах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34</w:t>
            </w:r>
          </w:p>
        </w:tc>
        <w:tc>
          <w:tcPr>
            <w:tcW w:w="5812" w:type="dxa"/>
            <w:tcBorders>
              <w:top w:val="single" w:sz="4" w:space="0" w:color="auto"/>
              <w:left w:val="single" w:sz="4" w:space="0" w:color="auto"/>
              <w:bottom w:val="single" w:sz="4" w:space="0" w:color="auto"/>
            </w:tcBorders>
          </w:tcPr>
          <w:p w:rsidR="007C5F35" w:rsidRPr="007C5F35" w:rsidRDefault="007C5F35" w:rsidP="002127BA">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 xml:space="preserve">Наличие действующих маршрутов в соответствии            с комплексной системой общественного транспорта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Участие в профилактике терроризма и экстремизма,         а также в минимизации и (или) ликвидации последствий </w:t>
            </w:r>
            <w:r w:rsidRPr="007C5F35">
              <w:rPr>
                <w:rFonts w:eastAsia="Times New Roman" w:cs="Times New Roman"/>
                <w:bCs/>
                <w:color w:val="000000"/>
                <w:sz w:val="24"/>
                <w:szCs w:val="24"/>
                <w:lang w:eastAsia="ru-RU"/>
              </w:rPr>
              <w:lastRenderedPageBreak/>
              <w:t>проявлений терроризма и экстремизма в границах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35</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профилактических/информационных мероприятий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36</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фактов участия в мероприятиях                  по минимизации и (или) ликвидации последствий проявления терроризма и экстремизма, организуемых федеральными органами исполнительной власти                и (или) органами исполнительной власти субъекта Российской Федерации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решений по вопросам профилактики терроризма и экстремизма, принятых на заседании антитеррористической комиссии города Сургута (ед.)</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мероприятий по реализации Стратегии государственной национальной политики Российской Федерации в муниципальном образовании городской округ Сургут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Участие в предупреждении и ликвидации последствий чрезвычайных ситуаций в границах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Процент охвата населения при оповещении                        и информировании об угрозе возникновения                   или о возникновении чрезвычайных ситуаций                  от общего количества населения, проживающего                в границах городского округа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действий по предупреждению                       и ликвидации чрезвычайных ситуаций природного               и техногенного характера города Сургута</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Предоставление помещения для работы                                      на обслуживаемом административном участке городского округа сотруднику, замещающему должность участкового уполномоченного полиции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обеспеченности помещениями для работы сотрудников полиции, замещающих должность участкового уполномоченного полиции от количества сотрудников полиции, замещающих должность участкового уполномоченного полиции, нуждающихся в таких помещениях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13.</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Обеспечение первичных мер пожарной безопасности             в границах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Информирование населения в средствах массовой информации о первичных мерах пожарной безопасности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месячников пожарной безопасности за отчётный период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14.</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мероприятий по охране окружающей среды в границах городского округа</w:t>
            </w: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по экологическому образованию и экологическому просвещению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45</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практической природоохранной деятельности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в сфере благоустройства в части охраны окружающей среды в границах городского округа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15.</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Ханты-Мансийского автономного округа </w:t>
            </w:r>
            <w:r w:rsidRPr="007C5F35">
              <w:rPr>
                <w:rFonts w:eastAsia="Times New Roman" w:cs="Arial"/>
                <w:szCs w:val="28"/>
                <w:lang w:eastAsia="ru-RU"/>
              </w:rPr>
              <w:t xml:space="preserve">– </w:t>
            </w:r>
            <w:r w:rsidRPr="007C5F35">
              <w:rPr>
                <w:rFonts w:eastAsia="Times New Roman" w:cs="Times New Roman"/>
                <w:bCs/>
                <w:color w:val="000000"/>
                <w:sz w:val="24"/>
                <w:szCs w:val="24"/>
                <w:lang w:eastAsia="ru-RU"/>
              </w:rPr>
              <w:t xml:space="preserve">Югры),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w:t>
            </w:r>
            <w:r w:rsidRPr="007C5F35">
              <w:rPr>
                <w:rFonts w:eastAsia="Times New Roman" w:cs="Times New Roman"/>
                <w:bCs/>
                <w:color w:val="000000"/>
                <w:sz w:val="24"/>
                <w:szCs w:val="24"/>
                <w:lang w:eastAsia="ru-RU"/>
              </w:rPr>
              <w:lastRenderedPageBreak/>
              <w:t>отдыха детей в каникулярное время, включая мероприятия по обеспечению безопасности их жизни                  и здоровья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48</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новых мест в общеобразовательных организациях</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49</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50</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детей первой и второй групп здоровья в общей численности обучающихся в муниципальных общеобразовательных учреждениях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51</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Расходы бюджета городского округа на общее образование в расчёте на 1 обучающегося                            в муниципальных общеобразовательных учреждениях (тыс. руб.)</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52</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p w:rsidR="002127BA" w:rsidRPr="007C5F35" w:rsidRDefault="002127BA" w:rsidP="007C5F35">
            <w:pPr>
              <w:widowControl w:val="0"/>
              <w:autoSpaceDE w:val="0"/>
              <w:autoSpaceDN w:val="0"/>
              <w:adjustRightInd w:val="0"/>
              <w:rPr>
                <w:rFonts w:eastAsia="Times New Roman" w:cs="Times New Roman"/>
                <w:bCs/>
                <w:color w:val="000000"/>
                <w:sz w:val="24"/>
                <w:szCs w:val="24"/>
                <w:lang w:eastAsia="ru-RU"/>
              </w:rPr>
            </w:pP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53</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54</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55</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56</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детей в возрасте от 5 до 18 лет, охваченных дополнительным образованием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57</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Численность детей, получивших услуги дополнительного образования по сертификату                        в рамках системы персонифицированного финансирования дополнительного образовании                     в отчётном периоде (чел.)</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58</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Охват детей деятельностью региональных центров выявления, поддержки и развития способностей                  и талантов у детей и молодёжи, технопарков «Кванториум» и центров «IТ-куб»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59</w:t>
            </w:r>
            <w:r w:rsidRPr="007C5F35">
              <w:rPr>
                <w:rFonts w:eastAsia="Times New Roman" w:cs="Times New Roman"/>
                <w:bCs/>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8052ED">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Доступность дошкольного образования для детей              в возрасте от полутора до трёх лет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60</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61</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Доля детей в возрасте 1 </w:t>
            </w:r>
            <w:r w:rsidRPr="007C5F35">
              <w:rPr>
                <w:rFonts w:eastAsia="Times New Roman" w:cs="Arial"/>
                <w:szCs w:val="28"/>
                <w:lang w:eastAsia="ru-RU"/>
              </w:rPr>
              <w:t xml:space="preserve">– </w:t>
            </w:r>
            <w:r w:rsidRPr="007C5F35">
              <w:rPr>
                <w:rFonts w:eastAsia="Times New Roman" w:cs="Times New Roman"/>
                <w:bCs/>
                <w:color w:val="000000"/>
                <w:sz w:val="24"/>
                <w:szCs w:val="24"/>
                <w:lang w:eastAsia="ru-RU"/>
              </w:rPr>
              <w:t xml:space="preserve">6 лет (от 1 до 7 лет), состоящих на учёте для определения                                       в муниципальные дошкольные образовательные учреждения, в общей численности детей в возрасте                  1 </w:t>
            </w:r>
            <w:r w:rsidRPr="007C5F35">
              <w:rPr>
                <w:rFonts w:eastAsia="Times New Roman" w:cs="Arial"/>
                <w:szCs w:val="28"/>
                <w:lang w:eastAsia="ru-RU"/>
              </w:rPr>
              <w:t xml:space="preserve">– </w:t>
            </w:r>
            <w:r w:rsidRPr="007C5F35">
              <w:rPr>
                <w:rFonts w:eastAsia="Times New Roman" w:cs="Times New Roman"/>
                <w:bCs/>
                <w:color w:val="000000"/>
                <w:sz w:val="24"/>
                <w:szCs w:val="24"/>
                <w:lang w:eastAsia="ru-RU"/>
              </w:rPr>
              <w:t>6 лет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62</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Доля детей в возрасте 1 </w:t>
            </w:r>
            <w:r w:rsidRPr="007C5F35">
              <w:rPr>
                <w:rFonts w:eastAsia="Times New Roman" w:cs="Arial"/>
                <w:szCs w:val="28"/>
                <w:lang w:eastAsia="ru-RU"/>
              </w:rPr>
              <w:t xml:space="preserve">– </w:t>
            </w:r>
            <w:r w:rsidRPr="007C5F35">
              <w:rPr>
                <w:rFonts w:eastAsia="Times New Roman" w:cs="Times New Roman"/>
                <w:bCs/>
                <w:color w:val="000000"/>
                <w:sz w:val="24"/>
                <w:szCs w:val="24"/>
                <w:lang w:eastAsia="ru-RU"/>
              </w:rPr>
              <w:t xml:space="preserve">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w:t>
            </w:r>
            <w:r w:rsidRPr="007C5F35">
              <w:rPr>
                <w:rFonts w:eastAsia="Times New Roman" w:cs="Arial"/>
                <w:szCs w:val="28"/>
                <w:lang w:eastAsia="ru-RU"/>
              </w:rPr>
              <w:t>–</w:t>
            </w:r>
            <w:r w:rsidRPr="007C5F35">
              <w:rPr>
                <w:rFonts w:eastAsia="Times New Roman" w:cs="Times New Roman"/>
                <w:bCs/>
                <w:color w:val="000000"/>
                <w:sz w:val="24"/>
                <w:szCs w:val="24"/>
                <w:lang w:eastAsia="ru-RU"/>
              </w:rPr>
              <w:t xml:space="preserve"> 6 лет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63</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Среднемесячная номинальная начисленная заработная плата работников (руб.):</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муниципальных дошкольных образовательных учреждений;</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муниципальных общеобразовательных учреждений;</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учителей муниципальных общеобразовательных учреждений</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16.</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оказания медицинской помощи населению на территории городского округа                      в соответствии с территориальной программой государственных гарантий бесплатного оказания гражданам медицинской помощи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Количество размещённых в средствах массовой информации и (или) на официальном портале Администрации города Сургута сведений                              о реализованных мероприятиях по профилактике заболеваний и формированию здорового образа жизни, информации о социально значимых заболеваниях и заболеваниях, представляющих опасность для окружающих на территории города (ед.)</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17.</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обеспечения жителей городского округа услугами связи, общественного питания, торговли и бытового обслуживания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65</w:t>
            </w:r>
          </w:p>
        </w:tc>
        <w:tc>
          <w:tcPr>
            <w:tcW w:w="5812" w:type="dxa"/>
            <w:tcBorders>
              <w:top w:val="single" w:sz="4" w:space="0" w:color="auto"/>
              <w:left w:val="single" w:sz="4" w:space="0" w:color="auto"/>
              <w:bottom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Обеспеченность объектами общественного питания общедоступной сети, торговой площадью стационарных объектов, предприятиями бытового обслуживания (%)</w:t>
            </w:r>
          </w:p>
          <w:p w:rsidR="006E1A1C" w:rsidRPr="007C5F35" w:rsidRDefault="006E1A1C" w:rsidP="007C5F35">
            <w:pPr>
              <w:widowControl w:val="0"/>
              <w:autoSpaceDE w:val="0"/>
              <w:autoSpaceDN w:val="0"/>
              <w:adjustRightInd w:val="0"/>
              <w:rPr>
                <w:rFonts w:eastAsia="Times New Roman" w:cs="Times New Roman"/>
                <w:bCs/>
                <w:color w:val="000000"/>
                <w:sz w:val="24"/>
                <w:szCs w:val="24"/>
                <w:lang w:eastAsia="ru-RU"/>
              </w:rPr>
            </w:pP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18.</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библиотечного обслуживания населения, комплектование и обеспечение сохранности библиотечных фондов библиотек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66</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Уровень фактической обеспеченности библиотеками от нормативной потребности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19.</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организации досуга и обеспечения жителей городского округа услугами организаций культуры</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67</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Уровень фактической обеспеченности учреждениями культуры от нормативной потребности:</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клубами и учреждениями клубного типа (%);</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парками культуры и отдыха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68</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Среднемесячная номинальная начисленная заработная плата работников муниципальных учреждений культуры и искусства (руб.)</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20.</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городском округе</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мероприятий                                 по сохранению и развитию местных традиций                     и обычаев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21.</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Сохранение, использование и популяризация объектов культурного наследия (памятников истории и культуры), находящихся в собственности городского округа, охрана объектов культурного наследия (памятников истории                и культуры) местного (муниципального) значения, расположенных на территории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памятников истории и культуры,                  в том числе отреставрированных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71</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22.</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Обеспечение условий для развития на территории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72</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спортивных сооружений на 100 тыс. человек населения (на конец года)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73</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8052ED">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 xml:space="preserve">Доля обучающихся, систематически занимающихся физической культурой и спортом, в общей численности обучающихся (%)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официальных физкультурно-оздоровительных и спортивных мероприятий городского округа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75</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8052ED" w:rsidRDefault="007C5F35" w:rsidP="002127BA">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Среднемесячная номинальная начисленная заработная плата работников муниципальных учреждений физической культуры и спорта (руб.)</w:t>
            </w:r>
          </w:p>
          <w:p w:rsidR="006E1A1C" w:rsidRPr="007C5F35" w:rsidRDefault="006E1A1C" w:rsidP="002127BA">
            <w:pPr>
              <w:widowControl w:val="0"/>
              <w:autoSpaceDE w:val="0"/>
              <w:autoSpaceDN w:val="0"/>
              <w:adjustRightInd w:val="0"/>
              <w:rPr>
                <w:rFonts w:eastAsia="Times New Roman" w:cs="Times New Roman"/>
                <w:bCs/>
                <w:color w:val="000000"/>
                <w:sz w:val="24"/>
                <w:szCs w:val="24"/>
                <w:lang w:eastAsia="ru-RU"/>
              </w:rPr>
            </w:pP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23.</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массового отдыха жителей городского округа и организация обустройства мест массового отдыха населения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76</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Количество обустроенных мест массового отдыха населения (ед.)</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24.</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Формирование и содержание муниципального архива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Наличие муниципального архива в соответствии                  с требованиями действующего законодательства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25.</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ритуальных услуг и содержание мест захоронения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устранённых нарушений предоставления ритуальных услуг к общему количеству выявленных нарушений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для осуществления содержания мест погребений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26.</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созданных мест (площадок) накопления твёрдых коммунальных отходов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реестра мест (площадок) накопления твёрдых коммунальных отходов</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Информирование населения о новой системе обращений с твёрдыми коммунальными отходами,                 в том числе в средствах массовой информации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bookmarkStart w:id="3" w:name="sub_227"/>
            <w:r w:rsidRPr="007C5F35">
              <w:rPr>
                <w:rFonts w:eastAsia="Times New Roman" w:cs="Times New Roman"/>
                <w:bCs/>
                <w:color w:val="000000"/>
                <w:sz w:val="24"/>
                <w:szCs w:val="24"/>
                <w:lang w:eastAsia="ru-RU"/>
              </w:rPr>
              <w:t>27.</w:t>
            </w:r>
            <w:bookmarkEnd w:id="3"/>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Утверждение правил благоустройства территории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городского округа в соответствии с указанными правилами, а также организация использования, охраны, защиты, </w:t>
            </w:r>
            <w:r w:rsidRPr="007C5F35">
              <w:rPr>
                <w:rFonts w:eastAsia="Times New Roman" w:cs="Times New Roman"/>
                <w:bCs/>
                <w:color w:val="000000"/>
                <w:sz w:val="24"/>
                <w:szCs w:val="24"/>
                <w:lang w:eastAsia="ru-RU"/>
              </w:rPr>
              <w:lastRenderedPageBreak/>
              <w:t>воспроизводства городских лесов, лесов особо охраняемых природных территорий, расположенных                  в границах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83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утверждённых правил благоустройства территории городского округа</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в сфере благоустройства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85</w:t>
            </w:r>
            <w:r w:rsidRPr="007C5F35">
              <w:rPr>
                <w:rFonts w:eastAsia="Times New Roman" w:cs="Times New Roman"/>
                <w:bCs/>
                <w:color w:val="000000"/>
                <w:sz w:val="24"/>
                <w:szCs w:val="24"/>
                <w:vertAlign w:val="superscript"/>
                <w:lang w:eastAsia="ru-RU"/>
              </w:rPr>
              <w:t>Н</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благоустроенных общественных территорий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28.</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Утверждение генерального плана городского округа, правил землепользования и застройки, утверждение подготовленной на основе генеральных планов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w:t>
            </w:r>
            <w:hyperlink r:id="rId13" w:history="1">
              <w:r w:rsidRPr="007C5F35">
                <w:rPr>
                  <w:rFonts w:eastAsia="Times New Roman" w:cs="Times New Roman"/>
                  <w:bCs/>
                  <w:color w:val="000000"/>
                  <w:sz w:val="24"/>
                  <w:szCs w:val="24"/>
                  <w:lang w:eastAsia="ru-RU"/>
                </w:rPr>
                <w:t>Градостроительным кодексом</w:t>
              </w:r>
            </w:hyperlink>
            <w:r w:rsidRPr="007C5F35">
              <w:rPr>
                <w:rFonts w:eastAsia="Times New Roman" w:cs="Times New Roman"/>
                <w:bCs/>
                <w:color w:val="000000"/>
                <w:sz w:val="24"/>
                <w:szCs w:val="24"/>
                <w:lang w:eastAsia="ru-RU"/>
              </w:rP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городского округа, утверждение местных нормативов градостроительного проектирования городского округа, ведение информационной системы обеспечения градостроительной деятельности, осуществляемой               на территории городского округа, резервирование земель и изъятие земельных участков в границах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w:t>
            </w:r>
            <w:r w:rsidRPr="007C5F35">
              <w:rPr>
                <w:rFonts w:eastAsia="Times New Roman" w:cs="Times New Roman"/>
                <w:bCs/>
                <w:color w:val="000000"/>
                <w:sz w:val="24"/>
                <w:szCs w:val="24"/>
                <w:lang w:eastAsia="ru-RU"/>
              </w:rPr>
              <w:lastRenderedPageBreak/>
              <w:t>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объектов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её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её приведения в соответствие с установленными требованиями в случаях, предусмотренных Градостроительным кодексом Российской Федерации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87</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утверждённого Думой города генерального плана муниципального образования городской округ Сургут</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вступивших в силу судебных актов, которыми признаны несоответствующими законодательству отдельные положения генерального плана городского округа, правил землепользования                  и застройки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Соответствие правил землепользования и застройки действующей редакции генерального плана муниципального образования городской округ Сургут</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выданных градостроительных планов земельных участков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изданных муниципальных правовых актов о предоставлении разрешений на условно разрешённый вид использования земельных участков или объекта капитального строительства                            и на отклонение от предельных параметров разрешённого строительства, реконструкции объектов капитального строительства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разрешений на строительство, реконструкцию объектов капитального строительства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единой системы учёта, регистрации, хранения и предоставления пользователям информации базы данных государственной информационной системы о градостроительной деятельности</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осмотров земельных участков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95</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Количество выявленных нарушений требований </w:t>
            </w:r>
            <w:hyperlink r:id="rId14" w:history="1">
              <w:r w:rsidRPr="007C5F35">
                <w:rPr>
                  <w:rFonts w:eastAsia="Times New Roman" w:cs="Times New Roman"/>
                  <w:bCs/>
                  <w:color w:val="000000"/>
                  <w:sz w:val="24"/>
                  <w:szCs w:val="24"/>
                  <w:lang w:eastAsia="ru-RU"/>
                </w:rPr>
                <w:t>земельного законодательства</w:t>
              </w:r>
            </w:hyperlink>
            <w:r w:rsidRPr="007C5F35">
              <w:rPr>
                <w:rFonts w:eastAsia="Times New Roman" w:cs="Times New Roman"/>
                <w:bCs/>
                <w:color w:val="000000"/>
                <w:sz w:val="24"/>
                <w:szCs w:val="24"/>
                <w:lang w:eastAsia="ru-RU"/>
              </w:rPr>
              <w:t xml:space="preserve"> Российской Федерации и законодательства субъекта Российской Федерации, за которые предусмотрена административная и иная ответственность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96</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направленных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направленных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решений Администрации города                             и решений суда о сносе самовольных (незаконных) некапитальных строений, сооружений на территории города за отчётный период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снесённых самовольных построек                на основании вступивших в силу решений суда              за отчётный период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решений об изъятии земельных участков для муниципальных нужд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29.</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Утверждение схемы размещения рекламных конструкций, выдача разрешений на установку                         и эксплуатацию рекламных конструкций на территории городского округа, аннулирование таких разрешений, </w:t>
            </w:r>
            <w:r w:rsidRPr="007C5F35">
              <w:rPr>
                <w:rFonts w:eastAsia="Times New Roman" w:cs="Times New Roman"/>
                <w:bCs/>
                <w:color w:val="000000"/>
                <w:sz w:val="24"/>
                <w:szCs w:val="24"/>
                <w:lang w:eastAsia="ru-RU"/>
              </w:rPr>
              <w:lastRenderedPageBreak/>
              <w:t xml:space="preserve">выдача предписаний о демонтаже самовольно установленных рекламных конструкций на территории городского округа, осуществляемые в соответствии                    с </w:t>
            </w:r>
            <w:hyperlink r:id="rId15" w:history="1">
              <w:r w:rsidRPr="007C5F35">
                <w:rPr>
                  <w:rFonts w:eastAsia="Times New Roman" w:cs="Times New Roman"/>
                  <w:bCs/>
                  <w:color w:val="000000"/>
                  <w:sz w:val="24"/>
                  <w:szCs w:val="24"/>
                  <w:lang w:eastAsia="ru-RU"/>
                </w:rPr>
                <w:t>Федеральным законом</w:t>
              </w:r>
            </w:hyperlink>
            <w:r w:rsidRPr="007C5F35">
              <w:rPr>
                <w:rFonts w:eastAsia="Times New Roman" w:cs="Times New Roman"/>
                <w:bCs/>
                <w:color w:val="000000"/>
                <w:sz w:val="24"/>
                <w:szCs w:val="24"/>
                <w:lang w:eastAsia="ru-RU"/>
              </w:rPr>
              <w:t xml:space="preserve"> «О рекламе»</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101</w:t>
            </w:r>
          </w:p>
        </w:tc>
        <w:tc>
          <w:tcPr>
            <w:tcW w:w="5812" w:type="dxa"/>
            <w:tcBorders>
              <w:top w:val="single" w:sz="4" w:space="0" w:color="auto"/>
              <w:left w:val="single" w:sz="4" w:space="0" w:color="auto"/>
              <w:bottom w:val="single" w:sz="4" w:space="0" w:color="auto"/>
            </w:tcBorders>
          </w:tcPr>
          <w:p w:rsidR="006E7729"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утверждённой схемы размещения рекламных конструкций</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102</w:t>
            </w:r>
          </w:p>
        </w:tc>
        <w:tc>
          <w:tcPr>
            <w:tcW w:w="5812" w:type="dxa"/>
            <w:tcBorders>
              <w:top w:val="single" w:sz="4" w:space="0" w:color="auto"/>
              <w:left w:val="single" w:sz="4" w:space="0" w:color="auto"/>
              <w:bottom w:val="single" w:sz="4" w:space="0" w:color="auto"/>
            </w:tcBorders>
          </w:tcPr>
          <w:p w:rsidR="002127BA" w:rsidRPr="007C5F35" w:rsidRDefault="007C5F35" w:rsidP="006E1A1C">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Количество выданных разрешений на установку                     и эксплуатацию рекламных конструкций                         </w:t>
            </w:r>
            <w:r w:rsidRPr="007C5F35">
              <w:rPr>
                <w:rFonts w:eastAsia="Times New Roman" w:cs="Times New Roman"/>
                <w:bCs/>
                <w:color w:val="000000"/>
                <w:sz w:val="24"/>
                <w:szCs w:val="24"/>
                <w:lang w:eastAsia="ru-RU"/>
              </w:rPr>
              <w:lastRenderedPageBreak/>
              <w:t>на территории городского округа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аннулированных разрешений                            на установку и эксплуатацию рекламных конструкций на территории городского округа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выданных предписаний о демонтаже самовольно установленных рекламных конструкций на территории городского округа (ед.)</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30.</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городского округа, изменение, аннулирование таких наименований, размещение информации в государственном адресном реестре</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105</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внесённых сведений об адресах (количество объектов адресации)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31.</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и осуществление мероприятий                            по территориальной обороне и гражданской обороне, защите населения и территории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106</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Наличие Плана выполнения мероприятий                              по территориальной обороне муниципального образования городской округ Сургут Ханты-Мансийского автономного округа </w:t>
            </w:r>
            <w:r w:rsidRPr="007C5F35">
              <w:rPr>
                <w:rFonts w:eastAsia="Times New Roman" w:cs="Arial"/>
                <w:szCs w:val="28"/>
                <w:lang w:eastAsia="ru-RU"/>
              </w:rPr>
              <w:t xml:space="preserve">– </w:t>
            </w:r>
            <w:r w:rsidRPr="007C5F35">
              <w:rPr>
                <w:rFonts w:eastAsia="Times New Roman" w:cs="Times New Roman"/>
                <w:bCs/>
                <w:color w:val="000000"/>
                <w:sz w:val="24"/>
                <w:szCs w:val="24"/>
                <w:lang w:eastAsia="ru-RU"/>
              </w:rPr>
              <w:t>Югры</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основных мероприятий муниципального образования городской округ Сургут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32.</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содержание и организация деятельности аварийно-спасательных служб и (или) аварийно-спасательных формирований на территории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108</w:t>
            </w:r>
          </w:p>
        </w:tc>
        <w:tc>
          <w:tcPr>
            <w:tcW w:w="5812" w:type="dxa"/>
            <w:tcBorders>
              <w:top w:val="single" w:sz="4" w:space="0" w:color="auto"/>
              <w:left w:val="single" w:sz="4" w:space="0" w:color="auto"/>
              <w:bottom w:val="single" w:sz="4" w:space="0" w:color="auto"/>
            </w:tcBorders>
          </w:tcPr>
          <w:p w:rsidR="008052ED" w:rsidRDefault="007C5F35" w:rsidP="002127BA">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муниципальных аварийно-спасательных служб, аварийно-спасательных формирований, специально уполномоченных на решение задач                   в области защиты населения от чрезвычайных ситуаций (ед.)</w:t>
            </w:r>
          </w:p>
          <w:p w:rsidR="006E1A1C" w:rsidRPr="007C5F35" w:rsidRDefault="006E1A1C" w:rsidP="002127BA">
            <w:pPr>
              <w:widowControl w:val="0"/>
              <w:autoSpaceDE w:val="0"/>
              <w:autoSpaceDN w:val="0"/>
              <w:adjustRightInd w:val="0"/>
              <w:rPr>
                <w:rFonts w:eastAsia="Times New Roman" w:cs="Times New Roman"/>
                <w:bCs/>
                <w:color w:val="000000"/>
                <w:sz w:val="24"/>
                <w:szCs w:val="24"/>
                <w:lang w:eastAsia="ru-RU"/>
              </w:rPr>
            </w:pP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аварийно-спасательных работ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33.</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развитие и обеспечение охраны лечебно-оздоровительных местностей и курортов местного значения на территории городского округа, а также осуществление муниципального контроля в области использования и охраны особо охраняемых природных территорий местного значения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лечебно-оздоровительных местностей                   и курортов местного значения на территории городского округа</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в области использования и охраны особо охраняемых природных территорий местного значения (%)</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34.</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и осуществление мероприятий                                 по мобилизационной подготовке муниципальных предприятий и учреждений, находящихся на территории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мероприятий по мобилизационной подготовке муниципальных предприятий                          и учреждений, находящихся на территории городского округа</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35.</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Осуществление мероприятий по обеспечению безопасности людей на водных объектах, охране                 их жизни и здоровья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мероприятий                        по обеспечению безопасности людей на водных объектах, охране их жизни и здоровья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прикрытия водных объектов муниципального образования городской округ</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36.</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(волонтёрству)</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115</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прибыльных сельскохозяйственных организаций в общем их числе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116</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Выполнение программы (подпрограммы) развития субъектов малого и среднего предпринимательства              и достижение ожидаемых результатов по показателям эффективности, установленных в программе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117</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социально ориентированных некоммерческих организаций, получивших поддержку в отчётном периоде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6220" w:type="dxa"/>
            <w:vMerge/>
            <w:tcBorders>
              <w:top w:val="single" w:sz="4" w:space="0" w:color="auto"/>
              <w:left w:val="single" w:sz="4" w:space="0" w:color="auto"/>
              <w:bottom w:val="single" w:sz="4" w:space="0" w:color="auto"/>
              <w:right w:val="nil"/>
            </w:tcBorders>
          </w:tcPr>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Общая численность граждан, вовлечённых центрами (сообществами, объединениями) поддержки добровольчества (волонтёрства) на базе образовательных организаций, некоммерческих организаций, муниципальных учреждений,                           </w:t>
            </w:r>
            <w:r w:rsidRPr="007C5F35">
              <w:rPr>
                <w:rFonts w:eastAsia="Times New Roman" w:cs="Times New Roman"/>
                <w:bCs/>
                <w:color w:val="000000"/>
                <w:sz w:val="24"/>
                <w:szCs w:val="24"/>
                <w:lang w:eastAsia="ru-RU"/>
              </w:rPr>
              <w:lastRenderedPageBreak/>
              <w:t>в добровольческую (волонтёрскую) деятельность (чел.)</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37.</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и осуществление мероприятий по работе                 с детьми и молодёжью в городском округе</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проведённых муниципальными учреждениями сферы молодёжной политики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38.</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Осуществление в пределах, установленных </w:t>
            </w:r>
            <w:hyperlink r:id="rId16" w:history="1">
              <w:r w:rsidRPr="007C5F35">
                <w:rPr>
                  <w:rFonts w:eastAsia="Times New Roman" w:cs="Times New Roman"/>
                  <w:bCs/>
                  <w:color w:val="000000"/>
                  <w:sz w:val="24"/>
                  <w:szCs w:val="24"/>
                  <w:lang w:eastAsia="ru-RU"/>
                </w:rPr>
                <w:t>водным законодательством</w:t>
              </w:r>
            </w:hyperlink>
            <w:r w:rsidRPr="007C5F35">
              <w:rPr>
                <w:rFonts w:eastAsia="Times New Roman" w:cs="Times New Roman"/>
                <w:bCs/>
                <w:color w:val="000000"/>
                <w:sz w:val="24"/>
                <w:szCs w:val="24"/>
                <w:lang w:eastAsia="ru-RU"/>
              </w:rP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120</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осуществляемых                           в пределах исполнения вопроса местного значения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правил использования водных объектов общего пользования для личных и бытовых нужд               на территории муниципального образования городской округ Сургут</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сообщений в средствах массовой информации об ограничениях использования водных объектов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муниципального правового акта                          об утверждении мест массового отдыха населения            на водных объектах</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39.</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124</w:t>
            </w:r>
          </w:p>
        </w:tc>
        <w:tc>
          <w:tcPr>
            <w:tcW w:w="5812" w:type="dxa"/>
            <w:tcBorders>
              <w:top w:val="single" w:sz="4" w:space="0" w:color="auto"/>
              <w:left w:val="single" w:sz="4" w:space="0" w:color="auto"/>
              <w:bottom w:val="single" w:sz="4" w:space="0" w:color="auto"/>
            </w:tcBorders>
          </w:tcPr>
          <w:p w:rsidR="007C5F35" w:rsidRPr="007C5F35" w:rsidRDefault="007C5F35" w:rsidP="008052ED">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Количество граждан, участвующих в охране общественного порядка, в составе народных дружин (чел.)</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125</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мер поддержки гражданам и их объединениям, участвующим в охране общественного порядка</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40.</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Осуществление муниципального лесного контроля</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126</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Доля устранённых нарушений от выявленных нарушений при осуществлении муниципального лесного контроля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41.</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Обеспечение выполнения работ, необходимых                         для создания искусственных земельных участков                   для нужд городского округа, проведение открытого аукциона на право заключить договор о создании искусственного земельного участка в соответствии            с федеральным законом</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127</w:t>
            </w:r>
          </w:p>
        </w:tc>
        <w:tc>
          <w:tcPr>
            <w:tcW w:w="5812" w:type="dxa"/>
            <w:tcBorders>
              <w:top w:val="single" w:sz="4" w:space="0" w:color="auto"/>
              <w:left w:val="single" w:sz="4" w:space="0" w:color="auto"/>
              <w:bottom w:val="single" w:sz="4" w:space="0" w:color="auto"/>
            </w:tcBorders>
          </w:tcPr>
          <w:p w:rsidR="008052ED" w:rsidRDefault="007C5F35" w:rsidP="002127BA">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рассмотренных проектов разрешения                  на создание искусственного земельного участка               на водном объекте, находящемся в федеральной собственности и планируемый к созданию                  на территории городского округа (ед.)</w:t>
            </w:r>
          </w:p>
          <w:p w:rsidR="006E1A1C" w:rsidRPr="007C5F35" w:rsidRDefault="006E1A1C" w:rsidP="002127BA">
            <w:pPr>
              <w:widowControl w:val="0"/>
              <w:autoSpaceDE w:val="0"/>
              <w:autoSpaceDN w:val="0"/>
              <w:adjustRightInd w:val="0"/>
              <w:rPr>
                <w:rFonts w:eastAsia="Times New Roman" w:cs="Times New Roman"/>
                <w:bCs/>
                <w:color w:val="000000"/>
                <w:sz w:val="24"/>
                <w:szCs w:val="24"/>
                <w:lang w:eastAsia="ru-RU"/>
              </w:rPr>
            </w:pP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128</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открытых аукционов                   на право заключить договор о создании искусственного земельного участка на территории городского округа в соответствии с действующим законодательством (ед.)</w:t>
            </w:r>
            <w:r w:rsidR="008052ED">
              <w:rPr>
                <w:rFonts w:eastAsia="Times New Roman" w:cs="Times New Roman"/>
                <w:bCs/>
                <w:color w:val="000000"/>
                <w:sz w:val="24"/>
                <w:szCs w:val="24"/>
                <w:lang w:eastAsia="ru-RU"/>
              </w:rPr>
              <w:t xml:space="preserve"> </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42.</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Осуществление мер по противодействию коррупции                   в границах городского округа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129</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принятых в отчётном периоде нормативных правовых актов Администрации города, проекты которых прошли антикоррупционную экспертизу,                к общему количеству принятых в отчётном периоде нормативных правовых актов Администрации города (%)</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43.</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Организация в соответствии с федеральным законом выполнения комплексных кадастровых работ                        и утверждение карты-плана территории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130</w:t>
            </w:r>
            <w:r w:rsidRPr="007C5F35">
              <w:rPr>
                <w:rFonts w:eastAsia="Times New Roman" w:cs="Times New Roman"/>
                <w:bCs/>
                <w:color w:val="000000"/>
                <w:sz w:val="24"/>
                <w:szCs w:val="24"/>
                <w:vertAlign w:val="superscript"/>
                <w:lang w:eastAsia="ru-RU"/>
              </w:rPr>
              <w:t>У</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многоквартирных домов, расположенных               на земельных участках, в отношении которых осуществлён государственный кадастровый учёт (%)</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131</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утверждённых карт-планов территории, по которым заказчиком является Администрация города и выполнение таких работ осуществляется               за счёт бюджетных средств (ед.)</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44.</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Принятие решений и проведение на территории городского округа мероприятий по выявлению правообладателей ранее учтённых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132</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выявленных правообладателей ранее учтённых объектов недвижимости/направленных сведений о правообладателях данных объектов недвижимости для внесения в Единый государственный реестр недвижимости (ед.)</w:t>
            </w:r>
          </w:p>
        </w:tc>
      </w:tr>
      <w:tr w:rsidR="007C5F35" w:rsidRPr="007C5F35" w:rsidTr="007C5F35">
        <w:tc>
          <w:tcPr>
            <w:tcW w:w="700" w:type="dxa"/>
            <w:vMerge w:val="restart"/>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45.</w:t>
            </w:r>
          </w:p>
        </w:tc>
        <w:tc>
          <w:tcPr>
            <w:tcW w:w="6220" w:type="dxa"/>
            <w:vMerge w:val="restart"/>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Реализация отдельных государственных полномочий                 в соответствии: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17" w:history="1">
              <w:r w:rsidRPr="007C5F35">
                <w:rPr>
                  <w:rFonts w:eastAsia="Times New Roman" w:cs="Times New Roman"/>
                  <w:bCs/>
                  <w:color w:val="000000"/>
                  <w:sz w:val="24"/>
                  <w:szCs w:val="24"/>
                  <w:lang w:eastAsia="ru-RU"/>
                </w:rPr>
                <w:t>Федеральным законом</w:t>
              </w:r>
            </w:hyperlink>
            <w:r w:rsidRPr="007C5F35">
              <w:rPr>
                <w:rFonts w:eastAsia="Times New Roman" w:cs="Times New Roman"/>
                <w:bCs/>
                <w:color w:val="000000"/>
                <w:sz w:val="24"/>
                <w:szCs w:val="24"/>
                <w:lang w:eastAsia="ru-RU"/>
              </w:rPr>
              <w:t xml:space="preserve"> от 20.08.2004 № 113-ФЗ                «О присяжных заседателях федеральных судов общей юрисдикции в Российской Федерации»;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18"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08.07.2005 № 62-оз «О наделении органов местного самоуправления муниципальных образований </w:t>
            </w:r>
            <w:r w:rsidRPr="007C5F35">
              <w:rPr>
                <w:rFonts w:eastAsia="Times New Roman" w:cs="Times New Roman"/>
                <w:bCs/>
                <w:color w:val="000000"/>
                <w:sz w:val="24"/>
                <w:szCs w:val="24"/>
                <w:lang w:eastAsia="ru-RU"/>
              </w:rPr>
              <w:lastRenderedPageBreak/>
              <w:t xml:space="preserve">отдельными государственными полномочиями Ханты-Мансийского автономного округа – Югры»;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19"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12.10.2005 № 74-оз «О комиссиях по делам несовершеннолетних и защите их прав в Ханты-Мансийском автономном округе – Югре 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0"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21.02.2007 № 2-оз «О компенсации части родительской платы за присмотр и уход за детьми                       в организациях, осуществляющих образовательную деятельность по реализации образовательной программы дошкольного образования»;</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1"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20.07.2007 № 114-оз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осуществлению деятельности по опеке                                  и попечительству»;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2"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30.09.2008 № 91-оз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государственной регистрации актов гражданского состояния»;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3"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02.03.2009 № 5-оз «Об административных комиссиях в Ханты-Мансийском автономном округе – </w:t>
            </w:r>
            <w:r w:rsidRPr="007C5F35">
              <w:rPr>
                <w:rFonts w:eastAsia="Times New Roman" w:cs="Times New Roman"/>
                <w:bCs/>
                <w:color w:val="000000"/>
                <w:sz w:val="24"/>
                <w:szCs w:val="24"/>
                <w:lang w:eastAsia="ru-RU"/>
              </w:rPr>
              <w:lastRenderedPageBreak/>
              <w:t xml:space="preserve">Югре»;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4"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31.03.2009 № 36-оз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для обеспечения жилыми помещениями отдельных категорий граждан, определённых федеральным законодательством»;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5"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09.06.2009 № 86-оз «О дополнительных гарантиях и дополнительных мерах социальной поддержки детей-сирот и детей, оставшихся                          без попечения родителей, лиц из числа детей-сирот                    и детей, оставшихся без попечения родителей, усыновителей, приёмных родителей в Ханты-Мансийском автономном округе – Югре»;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6"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18.10.2010 № 149-оз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хранению, комплектованию, учёту и использованию архивных документов, относящихся к государственной собственности Ханты-Мансийского автономного округа – Югры»;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7"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16.12.2010 № 228-оз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поддержке сельскохозяйственного производства и деятельности                 по заготовке и переработке дикоросов (за исключением </w:t>
            </w:r>
            <w:r w:rsidRPr="007C5F35">
              <w:rPr>
                <w:rFonts w:eastAsia="Times New Roman" w:cs="Times New Roman"/>
                <w:bCs/>
                <w:color w:val="000000"/>
                <w:sz w:val="24"/>
                <w:szCs w:val="24"/>
                <w:lang w:eastAsia="ru-RU"/>
              </w:rPr>
              <w:lastRenderedPageBreak/>
              <w:t xml:space="preserve">мероприятий, предусмотренных федеральными целевыми программами)»;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8"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27.05.2011 № 57-оз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трудовых отношений и государственного управления охраной труда»;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29"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23.04.2013 № 38-оз «О возмещении недополученных доходов организациям, осуществляющим реализацию электрической энергии                     в зоне децентрализованного электроснабжения Ханты-Мансийского автономного округа – Югры, и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предоставлению субсидий на возмещение недополученных доходов организациям, осуществляющим реализацию электрической энергии             в зоне децентрализованного электроснабжения Ханты-Мансийского автономного округа – Югры»;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0"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07.11.2013 № 118-оз «О возмещении недополученных доходов организациям, осуществляющим реализацию населению Ханты-Мансийского автономного округа – Югры сжиженного газа по розничным ценам, и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по предоставлению субсидий на возмещение недополученных доходов </w:t>
            </w:r>
            <w:r w:rsidRPr="007C5F35">
              <w:rPr>
                <w:rFonts w:eastAsia="Times New Roman" w:cs="Times New Roman"/>
                <w:bCs/>
                <w:color w:val="000000"/>
                <w:sz w:val="24"/>
                <w:szCs w:val="24"/>
                <w:lang w:eastAsia="ru-RU"/>
              </w:rPr>
              <w:lastRenderedPageBreak/>
              <w:t xml:space="preserve">организациям, осуществляющим реализацию населению Ханты-Мансийского автономного округа – Югры сжиженного газа по розничным ценам»;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1"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11.12.2013 № 123-оз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Ханты-Мансийского автономного округа – Югры в области образования и о субвенциях местным бюджетам                      для обеспечения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2"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30.01.2016 № 4-оз «О регулировании отдельных отношений в сфере организации обеспечения питанием обучающихся в государственных образовательных организациях, частных профессиональных образовательных организациях, муниципальных общеобразовательных организациях, частных общеобразовательных организациях, расположенных                в Ханты-Мансийском автономном округе – Югре»;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3"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17.11.2016 № 79-оз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в сфере </w:t>
            </w:r>
            <w:r w:rsidRPr="007C5F35">
              <w:rPr>
                <w:rFonts w:eastAsia="Times New Roman" w:cs="Times New Roman"/>
                <w:bCs/>
                <w:color w:val="000000"/>
                <w:sz w:val="24"/>
                <w:szCs w:val="24"/>
                <w:lang w:eastAsia="ru-RU"/>
              </w:rPr>
              <w:lastRenderedPageBreak/>
              <w:t xml:space="preserve">обращения с твердыми коммунальными отходами»;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4"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23.12.2016 № 102-оз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организации мероприятий по проведению дезинсекции и дератизации в Ханты-Мансийском автономном округе – Югре»;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5"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10.12.2019 № 89-оз «О наделении органов местного самоуправления муниципальных образований Ханты-Мансийского автономного округа – Югры отдельным государственным полномочием Ханты-Мансийского автономного округа – Югры                                          по организации мероприятий при осуществлении деятельности по обращению с животными                               без владельцев»; </w:t>
            </w:r>
          </w:p>
          <w:p w:rsidR="007C5F35" w:rsidRPr="007C5F35" w:rsidRDefault="007C5F35" w:rsidP="008052ED">
            <w:pPr>
              <w:widowControl w:val="0"/>
              <w:autoSpaceDE w:val="0"/>
              <w:autoSpaceDN w:val="0"/>
              <w:adjustRightInd w:val="0"/>
              <w:ind w:firstLine="304"/>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 </w:t>
            </w:r>
            <w:hyperlink r:id="rId36" w:history="1">
              <w:r w:rsidRPr="007C5F35">
                <w:rPr>
                  <w:rFonts w:eastAsia="Times New Roman" w:cs="Times New Roman"/>
                  <w:bCs/>
                  <w:color w:val="000000"/>
                  <w:sz w:val="24"/>
                  <w:szCs w:val="24"/>
                  <w:lang w:eastAsia="ru-RU"/>
                </w:rPr>
                <w:t>Законом</w:t>
              </w:r>
            </w:hyperlink>
            <w:r w:rsidRPr="007C5F35">
              <w:rPr>
                <w:rFonts w:eastAsia="Times New Roman" w:cs="Times New Roman"/>
                <w:bCs/>
                <w:color w:val="000000"/>
                <w:sz w:val="24"/>
                <w:szCs w:val="24"/>
                <w:lang w:eastAsia="ru-RU"/>
              </w:rPr>
              <w:t xml:space="preserve"> Ханты-Мансийского автономного округа –  Югры от 27.02.2020 № 2-оз «О наделении органов местного самоуправления муниципальных образований Ханты-Мансийского автономного округа – Югры отдельными государственными полномочиями                      по подготовке и проведению Всероссийской переписи населения 2020 года»</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133</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жалоб, по результатам которых проведены служебные проверки и подтверждены факты нарушения реализации государственных полномочий (ед.)</w:t>
            </w:r>
          </w:p>
        </w:tc>
      </w:tr>
      <w:tr w:rsidR="007C5F35" w:rsidRPr="007C5F35" w:rsidTr="007C5F35">
        <w:tc>
          <w:tcPr>
            <w:tcW w:w="700" w:type="dxa"/>
            <w:vMerge/>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6220" w:type="dxa"/>
            <w:vMerge/>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134</w:t>
            </w:r>
          </w:p>
        </w:tc>
        <w:tc>
          <w:tcPr>
            <w:tcW w:w="5812"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Количество предписаний государственных органов, уполномоченных на осуществление контроля                       за реализацией органами местного самоуправления отдельных государственных полномочий,                     </w:t>
            </w:r>
            <w:r w:rsidRPr="007C5F35">
              <w:rPr>
                <w:rFonts w:eastAsia="Times New Roman" w:cs="Times New Roman"/>
                <w:bCs/>
                <w:color w:val="000000"/>
                <w:sz w:val="24"/>
                <w:szCs w:val="24"/>
                <w:lang w:eastAsia="ru-RU"/>
              </w:rPr>
              <w:lastRenderedPageBreak/>
              <w:t>об устранении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(ед.)</w:t>
            </w:r>
          </w:p>
        </w:tc>
      </w:tr>
      <w:tr w:rsidR="007C5F35" w:rsidRPr="007C5F35" w:rsidTr="007C5F35">
        <w:tc>
          <w:tcPr>
            <w:tcW w:w="700"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ascii="Arial" w:eastAsia="Times New Roman" w:hAnsi="Arial" w:cs="Arial"/>
                <w:sz w:val="24"/>
                <w:szCs w:val="24"/>
                <w:lang w:eastAsia="ru-RU"/>
              </w:rPr>
            </w:pPr>
            <w:r w:rsidRPr="007C5F35">
              <w:rPr>
                <w:rFonts w:eastAsia="Times New Roman" w:cs="Times New Roman"/>
                <w:sz w:val="24"/>
                <w:szCs w:val="24"/>
                <w:lang w:eastAsia="ru-RU"/>
              </w:rPr>
              <w:lastRenderedPageBreak/>
              <w:t>46</w:t>
            </w:r>
            <w:r w:rsidRPr="007C5F35">
              <w:rPr>
                <w:rFonts w:ascii="Arial" w:eastAsia="Times New Roman" w:hAnsi="Arial" w:cs="Arial"/>
                <w:sz w:val="24"/>
                <w:szCs w:val="24"/>
                <w:lang w:eastAsia="ru-RU"/>
              </w:rPr>
              <w:t>.</w:t>
            </w:r>
          </w:p>
        </w:tc>
        <w:tc>
          <w:tcPr>
            <w:tcW w:w="6220"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ascii="Arial" w:eastAsia="Times New Roman" w:hAnsi="Arial" w:cs="Arial"/>
                <w:sz w:val="24"/>
                <w:szCs w:val="24"/>
                <w:lang w:eastAsia="ru-RU"/>
              </w:rPr>
            </w:pPr>
            <w:r w:rsidRPr="007C5F35">
              <w:rPr>
                <w:rFonts w:ascii="Arial" w:eastAsia="Times New Roman" w:hAnsi="Arial" w:cs="Arial"/>
                <w:sz w:val="24"/>
                <w:szCs w:val="24"/>
                <w:lang w:eastAsia="ru-RU"/>
              </w:rPr>
              <w:t>___</w:t>
            </w:r>
          </w:p>
        </w:tc>
        <w:tc>
          <w:tcPr>
            <w:tcW w:w="2127"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135</w:t>
            </w:r>
          </w:p>
        </w:tc>
        <w:tc>
          <w:tcPr>
            <w:tcW w:w="5812" w:type="dxa"/>
            <w:tcBorders>
              <w:top w:val="single" w:sz="4" w:space="0" w:color="auto"/>
              <w:left w:val="single" w:sz="4" w:space="0" w:color="auto"/>
              <w:bottom w:val="single" w:sz="4" w:space="0" w:color="auto"/>
            </w:tcBorders>
          </w:tcPr>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Выполнение протокольных поручений Думы города, поручений, данных на заседаниях постоянных комитетов и оформленных постановлениями Председателя Думы города:</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1) протокольных поручений Думы, всего: </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из них:</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выполнено в срок и снято с контроля;</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в срок (с указанием причин);</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срок выполнения продлён (перенесён);</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(с указанием причин);</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 поручений, данных на заседаниях постоянных комитетов и оформленных постановлениями Председателя Думы города, всего:</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из них:</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выполнено в срок и снято с контроля;</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в срок (с указанием причин);</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срок выполнения продлён (перенесён);</w:t>
            </w:r>
          </w:p>
          <w:p w:rsidR="007C5F35" w:rsidRPr="007C5F35" w:rsidRDefault="007C5F35" w:rsidP="008052ED">
            <w:pPr>
              <w:widowControl w:val="0"/>
              <w:autoSpaceDE w:val="0"/>
              <w:autoSpaceDN w:val="0"/>
              <w:adjustRightInd w:val="0"/>
              <w:ind w:firstLine="312"/>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(с указанием причин)</w:t>
            </w:r>
          </w:p>
        </w:tc>
      </w:tr>
    </w:tbl>
    <w:p w:rsidR="007C5F35" w:rsidRPr="007C5F35" w:rsidRDefault="007C5F35" w:rsidP="007C5F35">
      <w:pPr>
        <w:widowControl w:val="0"/>
        <w:autoSpaceDE w:val="0"/>
        <w:autoSpaceDN w:val="0"/>
        <w:adjustRightInd w:val="0"/>
        <w:rPr>
          <w:rFonts w:ascii="Arial" w:eastAsia="Times New Roman" w:hAnsi="Arial" w:cs="Arial"/>
          <w:sz w:val="24"/>
          <w:szCs w:val="24"/>
          <w:lang w:eastAsia="ru-RU"/>
        </w:rPr>
      </w:pP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bookmarkStart w:id="4" w:name="sub_22"/>
      <w:r w:rsidRPr="007C5F35">
        <w:rPr>
          <w:rFonts w:eastAsia="Times New Roman" w:cs="Times New Roman"/>
          <w:bCs/>
          <w:color w:val="000000"/>
          <w:sz w:val="24"/>
          <w:szCs w:val="24"/>
          <w:lang w:eastAsia="ru-RU"/>
        </w:rPr>
        <w:t xml:space="preserve">* код из Классификатора показателей оценки деятельности Администрации города в соответствии с </w:t>
      </w:r>
      <w:hyperlink w:anchor="sub_2100" w:history="1">
        <w:r w:rsidRPr="007C5F35">
          <w:rPr>
            <w:rFonts w:eastAsia="Times New Roman" w:cs="Times New Roman"/>
            <w:bCs/>
            <w:color w:val="000000"/>
            <w:sz w:val="24"/>
            <w:szCs w:val="24"/>
            <w:lang w:eastAsia="ru-RU"/>
          </w:rPr>
          <w:t>приложением</w:t>
        </w:r>
      </w:hyperlink>
      <w:r w:rsidRPr="007C5F35">
        <w:rPr>
          <w:rFonts w:eastAsia="Times New Roman" w:cs="Times New Roman"/>
          <w:bCs/>
          <w:color w:val="000000"/>
          <w:sz w:val="24"/>
          <w:szCs w:val="24"/>
          <w:lang w:eastAsia="ru-RU"/>
        </w:rPr>
        <w:t xml:space="preserve"> к показателям оценки деятельности Администрации города по результатам ежегодного отчёта о её деятельности</w:t>
      </w:r>
    </w:p>
    <w:bookmarkEnd w:id="4"/>
    <w:p w:rsidR="008052ED" w:rsidRDefault="008052ED">
      <w:pPr>
        <w:spacing w:after="200" w:line="276" w:lineRule="auto"/>
        <w:jc w:val="left"/>
        <w:rPr>
          <w:rFonts w:eastAsia="Times New Roman" w:cs="Times New Roman"/>
          <w:bCs/>
          <w:color w:val="000000"/>
          <w:sz w:val="24"/>
          <w:szCs w:val="24"/>
          <w:lang w:eastAsia="ru-RU"/>
        </w:rPr>
      </w:pPr>
      <w:r>
        <w:rPr>
          <w:rFonts w:eastAsia="Times New Roman" w:cs="Times New Roman"/>
          <w:bCs/>
          <w:color w:val="000000"/>
          <w:sz w:val="24"/>
          <w:szCs w:val="24"/>
          <w:lang w:eastAsia="ru-RU"/>
        </w:rPr>
        <w:br w:type="page"/>
      </w:r>
    </w:p>
    <w:p w:rsidR="007C5F35" w:rsidRPr="007C5F35" w:rsidRDefault="007C5F35" w:rsidP="008052ED">
      <w:pPr>
        <w:widowControl w:val="0"/>
        <w:autoSpaceDE w:val="0"/>
        <w:autoSpaceDN w:val="0"/>
        <w:adjustRightInd w:val="0"/>
        <w:ind w:left="10348" w:right="73"/>
        <w:rPr>
          <w:rFonts w:eastAsia="Times New Roman" w:cs="Times New Roman"/>
          <w:bCs/>
          <w:color w:val="000000"/>
          <w:sz w:val="24"/>
          <w:szCs w:val="24"/>
          <w:lang w:eastAsia="ru-RU"/>
        </w:rPr>
      </w:pPr>
      <w:bookmarkStart w:id="5" w:name="sub_2100"/>
      <w:r w:rsidRPr="007C5F35">
        <w:rPr>
          <w:rFonts w:eastAsia="Times New Roman" w:cs="Times New Roman"/>
          <w:bCs/>
          <w:color w:val="000000"/>
          <w:sz w:val="24"/>
          <w:szCs w:val="24"/>
          <w:lang w:eastAsia="ru-RU"/>
        </w:rPr>
        <w:lastRenderedPageBreak/>
        <w:t xml:space="preserve">Приложение </w:t>
      </w:r>
      <w:r w:rsidRPr="007C5F35">
        <w:rPr>
          <w:rFonts w:eastAsia="Times New Roman" w:cs="Times New Roman"/>
          <w:bCs/>
          <w:color w:val="000000"/>
          <w:sz w:val="24"/>
          <w:szCs w:val="24"/>
          <w:lang w:eastAsia="ru-RU"/>
        </w:rPr>
        <w:br/>
        <w:t xml:space="preserve">к </w:t>
      </w:r>
      <w:hyperlink w:anchor="sub_2000" w:history="1">
        <w:r w:rsidRPr="007C5F35">
          <w:rPr>
            <w:rFonts w:eastAsia="Times New Roman" w:cs="Times New Roman"/>
            <w:bCs/>
            <w:color w:val="000000"/>
            <w:sz w:val="24"/>
            <w:szCs w:val="24"/>
            <w:lang w:eastAsia="ru-RU"/>
          </w:rPr>
          <w:t>показателям</w:t>
        </w:r>
      </w:hyperlink>
      <w:r w:rsidRPr="007C5F35">
        <w:rPr>
          <w:rFonts w:eastAsia="Times New Roman" w:cs="Times New Roman"/>
          <w:bCs/>
          <w:color w:val="000000"/>
          <w:sz w:val="24"/>
          <w:szCs w:val="24"/>
          <w:lang w:eastAsia="ru-RU"/>
        </w:rPr>
        <w:t xml:space="preserve"> оценки деятельности Администрации города по результатам ежегодного отчёта о её деятельности</w:t>
      </w:r>
    </w:p>
    <w:bookmarkEnd w:id="5"/>
    <w:p w:rsidR="007C5F35" w:rsidRPr="007C5F35" w:rsidRDefault="007C5F35" w:rsidP="007C5F35">
      <w:pPr>
        <w:widowControl w:val="0"/>
        <w:autoSpaceDE w:val="0"/>
        <w:autoSpaceDN w:val="0"/>
        <w:adjustRightInd w:val="0"/>
        <w:ind w:right="-210"/>
        <w:rPr>
          <w:rFonts w:ascii="Arial" w:eastAsia="Times New Roman" w:hAnsi="Arial" w:cs="Arial"/>
          <w:sz w:val="24"/>
          <w:szCs w:val="24"/>
          <w:lang w:eastAsia="ru-RU"/>
        </w:rPr>
      </w:pPr>
    </w:p>
    <w:p w:rsidR="007C5F35" w:rsidRPr="007C5F35" w:rsidRDefault="007C5F35" w:rsidP="008052ED">
      <w:pPr>
        <w:widowControl w:val="0"/>
        <w:autoSpaceDE w:val="0"/>
        <w:autoSpaceDN w:val="0"/>
        <w:adjustRightInd w:val="0"/>
        <w:spacing w:before="108" w:after="108"/>
        <w:ind w:left="709"/>
        <w:jc w:val="center"/>
        <w:outlineLvl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Классификатор показателей оценки </w:t>
      </w:r>
      <w:r w:rsidRPr="007C5F35">
        <w:rPr>
          <w:rFonts w:eastAsia="Times New Roman" w:cs="Times New Roman"/>
          <w:bCs/>
          <w:color w:val="000000"/>
          <w:sz w:val="24"/>
          <w:szCs w:val="24"/>
          <w:lang w:eastAsia="ru-RU"/>
        </w:rPr>
        <w:br/>
        <w:t>деятельности Администрации города по результатам ежегодного отчёта о её деятельности</w:t>
      </w:r>
    </w:p>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tbl>
      <w:tblPr>
        <w:tblW w:w="14858" w:type="dxa"/>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76"/>
        <w:gridCol w:w="10773"/>
        <w:gridCol w:w="2409"/>
      </w:tblGrid>
      <w:tr w:rsidR="007C5F35" w:rsidRPr="007C5F35" w:rsidTr="007C5F35">
        <w:trPr>
          <w:trHeight w:val="131"/>
        </w:trPr>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Индивидуаль-ный код показателя</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Наименование показателя</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Период применения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Соблюдение требований к содержанию проекта решения о бюджете городского округа, составу годового отчёта об исполнении бюджета городского округа, установленных </w:t>
            </w:r>
            <w:hyperlink r:id="rId37" w:history="1">
              <w:r w:rsidRPr="007C5F35">
                <w:rPr>
                  <w:rFonts w:eastAsia="Times New Roman" w:cs="Times New Roman"/>
                  <w:bCs/>
                  <w:color w:val="000000"/>
                  <w:sz w:val="24"/>
                  <w:szCs w:val="24"/>
                  <w:lang w:eastAsia="ru-RU"/>
                </w:rPr>
                <w:t>Бюджетным кодексом</w:t>
              </w:r>
            </w:hyperlink>
            <w:r w:rsidRPr="007C5F35">
              <w:rPr>
                <w:rFonts w:eastAsia="Times New Roman" w:cs="Times New Roman"/>
                <w:bCs/>
                <w:color w:val="000000"/>
                <w:sz w:val="24"/>
                <w:szCs w:val="24"/>
                <w:lang w:eastAsia="ru-RU"/>
              </w:rPr>
              <w:t xml:space="preserve"> Российской Федерации и Положением о бюджетном процессе в городском округе Сургут</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Процент исполнения бюджета по доходам без учёта безвозмездных поступлений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Процент исполнения бюджета по расходам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объёме собственных доходов бюджета муниципального образования (без учёта субвенций)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Расходы бюджета городского округа на содержание работников органов местного самоуправления                    в расчёте на одного жителя городского округа (руб.)</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просроченной кредиторской задолженности по оплате труда (включая начисления                               на оплату труда) муниципальных учреждений в общем объёме расходов муниципального образования на оплату труда (включая начисления на оплату труда)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Соблюдение сроков и требований, установленных законодательством Российской Федерации                       по вопросам установления, изменения и отмены местных налогов и сборов</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w:t>
            </w:r>
          </w:p>
        </w:tc>
        <w:tc>
          <w:tcPr>
            <w:tcW w:w="10773" w:type="dxa"/>
            <w:tcBorders>
              <w:top w:val="single" w:sz="4" w:space="0" w:color="auto"/>
              <w:left w:val="single" w:sz="4" w:space="0" w:color="auto"/>
              <w:bottom w:val="single" w:sz="4" w:space="0" w:color="auto"/>
              <w:right w:val="single" w:sz="4" w:space="0" w:color="auto"/>
            </w:tcBorders>
          </w:tcPr>
          <w:p w:rsidR="00C64D8D"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объектов муниципальной собственности, находящихся в казне, на конец отчётного периода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объектов недвижимого имущества, переданных во владение и (или) пользование                        за отчётный период (ед.):</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 аренду;</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 безвозмездное пользование;</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в концессию</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объектов недвижимого имущества, отчуждённых из муниципальной собственности           за отчётный период, всего (ед.), из них:</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отчуждённого в рамках приватизации муниципального имущества, за исключением жилищного фонда (ед.);</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отчуждённых муниципальными унитарными предприятиями в рамках заключённых договоров купли-продажи (ед.);</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отчуждённого в рамках приватизации муниципального жилищного фонда (ед.);</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отчуждённого в соответствии с гражданско-правовыми договорами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Увеличение количества объектов имущества в перечне муниципального имущества, предназначенного для передачи во владение и (или) в пользование субъектам малого и среднего предпринимательства, в отчётном периоде (%)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Доля сданных в аренду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объектов недвижимого имущества, включённых в перечень муниципального имущества, в общем количестве объектов недвижимого имущества, включённых в перечень муниципального имущества, предназначенного для передачи во владение и (или) в пользование субъектам малого и среднего предпринимательства, за отчётный период (%)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организаций коммунального комплекса, осуществляющих производство товаров, оказание услуг по водо-, тепло-, газо-, электроснабжению, водоотведению, очистке сточных вод, утилизации (захоронению) твёрдых бытовых отходов и использующих объекты коммунальной инфраструктуры на праве частной собственности, по договору аренды или концессии, участие субъекта Российской Федерации и (или) городского округа в уставном капитале которых составляет не более 25 %,                         в общем числе организаций коммунального комплекса, осуществляющих свою деятельность                         на территории городского округа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14</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Фактический уровень собираемости платы граждан за предоставленные жилищно-коммунальные услуги за отчётный период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C64D8D">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Количество отключений на муниципальных источниках, вызвавших остановку тепловодоснабжения       у потребителей за отчётный период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16</w:t>
            </w:r>
            <w:r w:rsidRPr="007C5F35">
              <w:rPr>
                <w:rFonts w:eastAsia="Times New Roman" w:cs="Times New Roman"/>
                <w:bCs/>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Удельная величина потребления энергетических ресурсов муниципальными бюджетными учреждениями:</w:t>
            </w:r>
          </w:p>
          <w:p w:rsidR="007C5F35" w:rsidRPr="007C5F35" w:rsidRDefault="007C5F35" w:rsidP="00C64D8D">
            <w:pPr>
              <w:widowControl w:val="0"/>
              <w:autoSpaceDE w:val="0"/>
              <w:autoSpaceDN w:val="0"/>
              <w:adjustRightInd w:val="0"/>
              <w:ind w:firstLine="321"/>
              <w:rPr>
                <w:rFonts w:eastAsia="Times New Roman" w:cs="Times New Roman"/>
                <w:bCs/>
                <w:sz w:val="24"/>
                <w:szCs w:val="24"/>
                <w:lang w:eastAsia="ru-RU"/>
              </w:rPr>
            </w:pPr>
            <w:r w:rsidRPr="007C5F35">
              <w:rPr>
                <w:rFonts w:eastAsia="Times New Roman" w:cs="Times New Roman"/>
                <w:bCs/>
                <w:sz w:val="24"/>
                <w:szCs w:val="24"/>
                <w:lang w:eastAsia="ru-RU"/>
              </w:rPr>
              <w:t>электрическая энергия (кВт.ч на 1 человека населения);</w:t>
            </w:r>
          </w:p>
          <w:p w:rsidR="007C5F35" w:rsidRPr="007C5F35" w:rsidRDefault="007C5F35" w:rsidP="00C64D8D">
            <w:pPr>
              <w:widowControl w:val="0"/>
              <w:autoSpaceDE w:val="0"/>
              <w:autoSpaceDN w:val="0"/>
              <w:adjustRightInd w:val="0"/>
              <w:ind w:firstLine="321"/>
              <w:rPr>
                <w:rFonts w:eastAsia="Times New Roman" w:cs="Times New Roman"/>
                <w:bCs/>
                <w:sz w:val="24"/>
                <w:szCs w:val="24"/>
                <w:lang w:eastAsia="ru-RU"/>
              </w:rPr>
            </w:pPr>
            <w:r w:rsidRPr="007C5F35">
              <w:rPr>
                <w:rFonts w:eastAsia="Times New Roman" w:cs="Times New Roman"/>
                <w:bCs/>
                <w:sz w:val="24"/>
                <w:szCs w:val="24"/>
                <w:lang w:eastAsia="ru-RU"/>
              </w:rPr>
              <w:t>тепловая энергия (Гкал на 1 кв. м общей площади);</w:t>
            </w:r>
          </w:p>
          <w:p w:rsidR="007C5F35" w:rsidRPr="007C5F35" w:rsidRDefault="007C5F35" w:rsidP="00C64D8D">
            <w:pPr>
              <w:widowControl w:val="0"/>
              <w:autoSpaceDE w:val="0"/>
              <w:autoSpaceDN w:val="0"/>
              <w:adjustRightInd w:val="0"/>
              <w:ind w:firstLine="321"/>
              <w:rPr>
                <w:rFonts w:eastAsia="Times New Roman" w:cs="Times New Roman"/>
                <w:bCs/>
                <w:sz w:val="24"/>
                <w:szCs w:val="24"/>
                <w:lang w:eastAsia="ru-RU"/>
              </w:rPr>
            </w:pPr>
            <w:r w:rsidRPr="007C5F35">
              <w:rPr>
                <w:rFonts w:eastAsia="Times New Roman" w:cs="Times New Roman"/>
                <w:bCs/>
                <w:sz w:val="24"/>
                <w:szCs w:val="24"/>
                <w:lang w:eastAsia="ru-RU"/>
              </w:rPr>
              <w:lastRenderedPageBreak/>
              <w:t>горячая вода (куб. м на 1 человека населения);</w:t>
            </w:r>
          </w:p>
          <w:p w:rsidR="007C5F35" w:rsidRPr="007C5F35" w:rsidRDefault="007C5F35" w:rsidP="00C64D8D">
            <w:pPr>
              <w:widowControl w:val="0"/>
              <w:autoSpaceDE w:val="0"/>
              <w:autoSpaceDN w:val="0"/>
              <w:adjustRightInd w:val="0"/>
              <w:ind w:firstLine="321"/>
              <w:rPr>
                <w:rFonts w:eastAsia="Times New Roman" w:cs="Times New Roman"/>
                <w:bCs/>
                <w:sz w:val="24"/>
                <w:szCs w:val="24"/>
                <w:lang w:eastAsia="ru-RU"/>
              </w:rPr>
            </w:pPr>
            <w:r w:rsidRPr="007C5F35">
              <w:rPr>
                <w:rFonts w:eastAsia="Times New Roman" w:cs="Times New Roman"/>
                <w:bCs/>
                <w:sz w:val="24"/>
                <w:szCs w:val="24"/>
                <w:lang w:eastAsia="ru-RU"/>
              </w:rPr>
              <w:t>холодная вода (куб. м на 1 человека населения);</w:t>
            </w:r>
          </w:p>
          <w:p w:rsidR="007C5F35" w:rsidRPr="007C5F35" w:rsidRDefault="007C5F35" w:rsidP="00C64D8D">
            <w:pPr>
              <w:widowControl w:val="0"/>
              <w:autoSpaceDE w:val="0"/>
              <w:autoSpaceDN w:val="0"/>
              <w:adjustRightInd w:val="0"/>
              <w:ind w:firstLine="321"/>
              <w:rPr>
                <w:rFonts w:eastAsia="Times New Roman" w:cs="Times New Roman"/>
                <w:bCs/>
                <w:sz w:val="24"/>
                <w:szCs w:val="24"/>
                <w:lang w:eastAsia="ru-RU"/>
              </w:rPr>
            </w:pPr>
            <w:r w:rsidRPr="007C5F35">
              <w:rPr>
                <w:rFonts w:eastAsia="Times New Roman" w:cs="Times New Roman"/>
                <w:bCs/>
                <w:sz w:val="24"/>
                <w:szCs w:val="24"/>
                <w:lang w:eastAsia="ru-RU"/>
              </w:rPr>
              <w:t>природный газ (куб. м на 1 человека населения)</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lastRenderedPageBreak/>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17</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заёмных средств в общем объёме капитальных вложений в системы тепло-, водоснабжения, водоотведения и очистки сточных вод (по муниципальным унитарным предприятиям коммунального комплекса)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18</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Удельная величина потребления энергетических ресурсов в многоквартирных домах: </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электрическая энергия (кВт.ч на 1 проживающего);</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тепловая энергия (Гкал на 1 кв. м общей площади);</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горячая вода (куб. м на 1 проживающего);</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холодная вода (куб. м на 1 проживающего);</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природный газ (куб. м на 1 проживающего)</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введённых в эксплуатацию километров дорог местного значения в границах городского округа (км)</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Удовлетворённость жителей города качеством содержания городских улиц и дорог (в соответствии              с социологическим опросом) (балл)</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22</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протяжённости автомобильных дорог общего пользования местного назначения, не отвечающих нормативным требованиям, в общей протяжённости автомобильных дорог общего пользования местного значения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выявленных нарушений обязательных требований, установленных международными договорами Российской Федерации, федеральными законами и принимаемыми в соответствии с ними иными нормативными правовыми актами Российской Федерации в области использования автомобильных дорог за отчётный период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24</w:t>
            </w:r>
          </w:p>
        </w:tc>
        <w:tc>
          <w:tcPr>
            <w:tcW w:w="10773" w:type="dxa"/>
            <w:tcBorders>
              <w:top w:val="single" w:sz="4" w:space="0" w:color="auto"/>
              <w:left w:val="single" w:sz="4" w:space="0" w:color="auto"/>
              <w:bottom w:val="single" w:sz="4" w:space="0" w:color="auto"/>
              <w:right w:val="single" w:sz="4" w:space="0" w:color="auto"/>
            </w:tcBorders>
          </w:tcPr>
          <w:p w:rsidR="00C64D8D"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Количество созданных парковочных мест в рамках реализации муниципальной программы </w:t>
            </w:r>
            <w:r w:rsidR="006E7729">
              <w:rPr>
                <w:rFonts w:eastAsia="Times New Roman" w:cs="Times New Roman"/>
                <w:bCs/>
                <w:color w:val="000000"/>
                <w:sz w:val="24"/>
                <w:szCs w:val="24"/>
                <w:lang w:eastAsia="ru-RU"/>
              </w:rPr>
              <w:t>«</w:t>
            </w:r>
            <w:r w:rsidRPr="007C5F35">
              <w:rPr>
                <w:rFonts w:eastAsia="Times New Roman" w:cs="Times New Roman"/>
                <w:bCs/>
                <w:color w:val="000000"/>
                <w:sz w:val="24"/>
                <w:szCs w:val="24"/>
                <w:lang w:eastAsia="ru-RU"/>
              </w:rPr>
              <w:t>Развитие транспортной системы города Сургута на период до 2030 года</w:t>
            </w:r>
            <w:r w:rsidR="006E7729">
              <w:rPr>
                <w:rFonts w:eastAsia="Times New Roman" w:cs="Times New Roman"/>
                <w:bCs/>
                <w:color w:val="000000"/>
                <w:sz w:val="24"/>
                <w:szCs w:val="24"/>
                <w:lang w:eastAsia="ru-RU"/>
              </w:rPr>
              <w:t>»</w:t>
            </w:r>
            <w:r w:rsidRPr="007C5F35">
              <w:rPr>
                <w:rFonts w:eastAsia="Times New Roman" w:cs="Times New Roman"/>
                <w:bCs/>
                <w:color w:val="000000"/>
                <w:sz w:val="24"/>
                <w:szCs w:val="24"/>
                <w:lang w:eastAsia="ru-RU"/>
              </w:rPr>
              <w:t xml:space="preserve"> за отчётный период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25</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6E7729"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Общее количество квадратных метров расселённого непригодного для проживания жилищного фонда (ветхого и аварийного жилья) (кв. м)</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26</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объёма ввода жилья в эксплуатацию по стандартам экономического класса в общем объёме введённого в эксплуатацию жилья (%)</w:t>
            </w:r>
          </w:p>
          <w:p w:rsidR="006E7729" w:rsidRPr="007C5F35" w:rsidRDefault="006E7729" w:rsidP="007C5F35">
            <w:pPr>
              <w:widowControl w:val="0"/>
              <w:autoSpaceDE w:val="0"/>
              <w:autoSpaceDN w:val="0"/>
              <w:adjustRightInd w:val="0"/>
              <w:rPr>
                <w:rFonts w:eastAsia="Times New Roman" w:cs="Times New Roman"/>
                <w:bCs/>
                <w:color w:val="000000"/>
                <w:sz w:val="24"/>
                <w:szCs w:val="24"/>
                <w:lang w:eastAsia="ru-RU"/>
              </w:rPr>
            </w:pP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27</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Общая площадь жилых помещений, приходящаяся в среднем на одного жителя, – всего, в том числе введённая в эксплуатацию за один год (кв. м)</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28</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семей, состоящих на учёте на получение жилого помещения на условиях социального найма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29</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населения, получившего жилые помещения и улучшившего жилищные условия в отчётном году, в общей численности населения, состоящего на учёте в качестве нуждающегося в жилых помещениях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30</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семей, получивших меры государственной поддержки на улучшение жилищных условий, всего, в том числе по категории молодых семей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жилищного контроля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32</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Площадь земельных участков, предоставленных для строительства, в отношении которых с даты принятия решения о предоставлении земельного участка или подписания протокола о результатах торгов (конкурсов, аукционов) не было получено разрешение на ввод в эксплуатацию (кв. метров):</w:t>
            </w:r>
          </w:p>
          <w:p w:rsidR="007C5F35" w:rsidRPr="007C5F35" w:rsidRDefault="007C5F35" w:rsidP="006E7729">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объектов жилищного строительства – в течение 3 лет;</w:t>
            </w:r>
          </w:p>
          <w:p w:rsidR="007C5F35" w:rsidRPr="007C5F35" w:rsidRDefault="007C5F35" w:rsidP="006E7729">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иных объектов капитального строительства – в течение 5 лет</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33</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Площадь земельных участков, предоставленных для строительства в расчёте на 10 тыс. человек населения, в том числе земельных участков, предоставленных для жилищного строительства, индивидуального строительства и комплексного освоения в целях жилищного строительства (га)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действующих маршрутов в соответствии с комплексной системой общественного транспорта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профилактических/информационных мероприятий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фактов участия в мероприятиях по минимизации и (или) ликвидации последствий проявления терроризма и экстремизма, организуемых федеральными органами исполнительной власти и (или) органами исполнительной власти субъекта Российской Федерации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37</w:t>
            </w:r>
          </w:p>
        </w:tc>
        <w:tc>
          <w:tcPr>
            <w:tcW w:w="10773" w:type="dxa"/>
            <w:tcBorders>
              <w:top w:val="single" w:sz="4" w:space="0" w:color="auto"/>
              <w:left w:val="single" w:sz="4" w:space="0" w:color="auto"/>
              <w:bottom w:val="single" w:sz="4" w:space="0" w:color="auto"/>
              <w:right w:val="single" w:sz="4" w:space="0" w:color="auto"/>
            </w:tcBorders>
          </w:tcPr>
          <w:p w:rsidR="00C64D8D"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решений по вопросам профилактики терроризма и экстремизма принятых на заседании антитеррористической комиссии города Сургута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38</w:t>
            </w:r>
          </w:p>
        </w:tc>
        <w:tc>
          <w:tcPr>
            <w:tcW w:w="10773" w:type="dxa"/>
            <w:tcBorders>
              <w:top w:val="single" w:sz="4" w:space="0" w:color="auto"/>
              <w:left w:val="single" w:sz="4" w:space="0" w:color="auto"/>
              <w:bottom w:val="single" w:sz="4" w:space="0" w:color="auto"/>
              <w:right w:val="single" w:sz="4" w:space="0" w:color="auto"/>
            </w:tcBorders>
          </w:tcPr>
          <w:p w:rsidR="006E7729"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мероприятий по реализации Стратегии государственной национальной политики Российской Федерации в муниципальном образовании городской округ Сургут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39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Процент охвата населения при оповещении и информировании об угрозе возникновения                          или о возникновении чрезвычайных ситуаций от общего количества населения, проживающего                    в границах городского округа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40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действий по предупреждению и ликвидации чрезвычайных ситуаций природного                 и техногенного характера города Сургута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обеспеченности помещениями для работы сотрудников полиции, замещающих должность участкового уполномоченного полиции от количества сотрудников полиции, замещающих должность участкового уполномоченного полиции, нуждающихся в таких помещениях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Информирование населения в средствах массовой информации о первичных мерах пожарной безопасности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месячников пожарной безопасности за отчётный период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по экологическому образованию и экологическому просвещению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практической природоохранной деятельности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46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Доля устранённых нарушений от выявленных нарушений при осуществлении муниципального лесного контроля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 xml:space="preserve">Применялся до 31.12.2021 </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в сфере благоустройства в части охраны окружающей среды в границах городского              округа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48</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Создание новых мест в общеобразовательных организациях</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49</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обучающихся в муниципальных общеобразовательных учреждениях, занимающихся во вторую (третью) смену, в общей численности обучающихся в муниципальных общеобразовательных учреждениях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50</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детей первой и второй групп здоровья в общей численности обучающихся в муниципальных общеобразовательных учреждениях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51</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Расходы бюджета городского округа на общее образование в расчёте на 1 обучающегося                              в муниципальных общеобразовательных учреждениях (тыс. руб.)</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52</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6E7729">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53</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6E7729"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54</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муниципальных общеобразовательных учреждений, здания которых находятся в аварийном состоянии или требуют капитального ремонта, в общем количестве муниципальных общеобразовательных учреждений (%)</w:t>
            </w:r>
          </w:p>
          <w:p w:rsidR="006E7729" w:rsidRPr="007C5F35" w:rsidRDefault="006E7729" w:rsidP="007C5F35">
            <w:pPr>
              <w:widowControl w:val="0"/>
              <w:autoSpaceDE w:val="0"/>
              <w:autoSpaceDN w:val="0"/>
              <w:adjustRightInd w:val="0"/>
              <w:rPr>
                <w:rFonts w:eastAsia="Times New Roman" w:cs="Times New Roman"/>
                <w:bCs/>
                <w:color w:val="000000"/>
                <w:sz w:val="24"/>
                <w:szCs w:val="24"/>
                <w:lang w:eastAsia="ru-RU"/>
              </w:rPr>
            </w:pP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55</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муниципальных общеобразовательных учреждений, соответствующих современным требованиям обучения, в общем количестве муниципальных общеобразовательных учреждений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56</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детей в возрасте от 5 до 18 лет, охваченных дополнительным образованием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57</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Численность детей, получивших услуги дополнительного образования по сертификату в рамках системы персонифицированного финансирования дополнительного образовании в отчётном периоде (чел.)</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58</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Охват детей деятельностью региональных центров выявления, поддержки и развития способностей                и талантов у детей и молодёжи, технопарков «Кванториум» и центров «IТ-куб»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59</w:t>
            </w:r>
            <w:r w:rsidRPr="007C5F35">
              <w:rPr>
                <w:rFonts w:eastAsia="Times New Roman" w:cs="Times New Roman"/>
                <w:bCs/>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Доступность дошкольного образования для детей в возрасте от полутора до трёх лет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60</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муниципальных дошкольных образовательных учреждений, здания которых находятся                     в аварийном состоянии или требуют капитального ремонта, в общем числе муниципальных дошкольных образовательных учреждений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61</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детей в возрасте 1 – 6 лет (от 1 до 7 лет), состоящих на учёте для определения в муниципальные дошкольные образовательные учреждения, в общей численности детей в возрасте 1 – 6 лет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62</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детей в возрасте 1 – 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 – 6 лет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63</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Среднемесячная номинальная начисленная заработная плата работников (руб.):</w:t>
            </w:r>
          </w:p>
          <w:p w:rsidR="007C5F35" w:rsidRPr="007C5F35" w:rsidRDefault="007C5F35" w:rsidP="006E7729">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муниципальных дошкольных образовательных учреждений;</w:t>
            </w:r>
          </w:p>
          <w:p w:rsidR="007C5F35" w:rsidRPr="007C5F35" w:rsidRDefault="007C5F35" w:rsidP="006E7729">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муниципальных общеобразовательных учреждений;</w:t>
            </w:r>
          </w:p>
          <w:p w:rsidR="007C5F35" w:rsidRPr="007C5F35" w:rsidRDefault="007C5F35" w:rsidP="006E7729">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учителей муниципальных общеобразовательных учреждений</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64</w:t>
            </w:r>
          </w:p>
        </w:tc>
        <w:tc>
          <w:tcPr>
            <w:tcW w:w="10773" w:type="dxa"/>
            <w:tcBorders>
              <w:top w:val="single" w:sz="4" w:space="0" w:color="auto"/>
              <w:left w:val="single" w:sz="4" w:space="0" w:color="auto"/>
              <w:bottom w:val="single" w:sz="4" w:space="0" w:color="auto"/>
              <w:right w:val="single" w:sz="4" w:space="0" w:color="auto"/>
            </w:tcBorders>
          </w:tcPr>
          <w:p w:rsidR="00C64D8D"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размещённых в средствах массовой информации и (или) на официальном портале Администрации города Сургута сведений о реализованных мероприятиях по профилактике заболеваний и формированию здорового образа жизни, информации о социально значимых заболеваниях и заболеваниях, представляющих опасность для окружающих на территории города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Обеспеченность объектами общественного питания общедоступной сети, торговой площадью стационарных объектов, предприятиями бытового обслуживания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66</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Уровень фактической обеспеченности библиотеками от нормативной потребности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67</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Уровень фактической обеспеченности учреждениями культуры от нормативной потребности:</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клубами и учреждениями клубного типа (%);</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парками культуры и отдыха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68</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Среднемесячная номинальная начисленная заработная плата работников муниципальных учреждений культуры и искусства (руб.)</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69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мероприятий по сохранению и развитию местных традиций и обычаев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памятников истории и культуры, в том числе отреставрированных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71</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объектов культурного наследия, находящихся в муниципальной собственности и требующих консервации или реставрации, в общем количестве объектов культурного наследия, находящихся           в муниципальной собственности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72</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спортивных сооружений на 100 тыс. человек населения (на конец года)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73</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обучающихся, систематически занимающихся физической культурой и спортом, в общей численности обучающихся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официальных физкультурно-оздоровительных и спортивных мероприятий городского округа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75</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Среднемесячная номинальная начисленная заработная плата работников муниципальных учреждений физической культуры и спорта (руб.)</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76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Количество обустроенных мест массового отдыха населения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муниципального архива в соответствии с требованиями действующего законодательства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78</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устранённых нарушений предоставления ритуальных услуг к общему количеству выявленных нарушений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79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для осуществления содержания мест погребений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созданных мест (площадок) накопления твёрдых коммунальных отходов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реестра мест (площадок) накопления твёрдых коммунальных отходов</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Информирование населения о новой системе обращений с твёрдыми коммунальными отходами,              в том числе в средствах массовой информации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утверждённых правил благоустройства территории городского округа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в сфере благоустройства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6E7729">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85</w:t>
            </w:r>
            <w:r w:rsidRPr="007C5F35">
              <w:rPr>
                <w:rFonts w:eastAsia="Times New Roman" w:cs="Times New Roman"/>
                <w:bCs/>
                <w:color w:val="000000"/>
                <w:sz w:val="24"/>
                <w:szCs w:val="24"/>
                <w:vertAlign w:val="superscript"/>
                <w:lang w:eastAsia="ru-RU"/>
              </w:rPr>
              <w:t>Н</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благоустроенных общественных территорий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86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Количество мест отдыха населения на территории городских лесов (ед.)</w:t>
            </w:r>
          </w:p>
        </w:tc>
        <w:tc>
          <w:tcPr>
            <w:tcW w:w="2409" w:type="dxa"/>
            <w:tcBorders>
              <w:top w:val="single" w:sz="4" w:space="0" w:color="auto"/>
              <w:left w:val="single" w:sz="4" w:space="0" w:color="auto"/>
              <w:bottom w:val="single" w:sz="4" w:space="0" w:color="auto"/>
            </w:tcBorders>
          </w:tcPr>
          <w:p w:rsidR="007C5F35" w:rsidRPr="007C5F35" w:rsidRDefault="007C5F35" w:rsidP="00C64D8D">
            <w:pPr>
              <w:widowControl w:val="0"/>
              <w:autoSpaceDE w:val="0"/>
              <w:autoSpaceDN w:val="0"/>
              <w:adjustRightInd w:val="0"/>
              <w:ind w:right="-101"/>
              <w:jc w:val="center"/>
              <w:rPr>
                <w:rFonts w:eastAsia="Times New Roman" w:cs="Times New Roman"/>
                <w:bCs/>
                <w:sz w:val="24"/>
                <w:szCs w:val="24"/>
                <w:lang w:eastAsia="ru-RU"/>
              </w:rPr>
            </w:pPr>
            <w:r w:rsidRPr="007C5F35">
              <w:rPr>
                <w:rFonts w:eastAsia="Times New Roman" w:cs="Times New Roman"/>
                <w:bCs/>
                <w:sz w:val="24"/>
                <w:szCs w:val="24"/>
                <w:lang w:eastAsia="ru-RU"/>
              </w:rPr>
              <w:t xml:space="preserve">Применялся </w:t>
            </w:r>
            <w:r w:rsidRPr="007C5F35">
              <w:rPr>
                <w:rFonts w:eastAsia="Times New Roman" w:cs="Times New Roman"/>
                <w:bCs/>
                <w:sz w:val="24"/>
                <w:szCs w:val="24"/>
                <w:lang w:eastAsia="ru-RU"/>
              </w:rPr>
              <w:br/>
            </w:r>
            <w:r w:rsidR="00C64D8D">
              <w:rPr>
                <w:rFonts w:eastAsia="Times New Roman" w:cs="Times New Roman"/>
                <w:bCs/>
                <w:sz w:val="24"/>
                <w:szCs w:val="24"/>
                <w:lang w:eastAsia="ru-RU"/>
              </w:rPr>
              <w:t xml:space="preserve"> </w:t>
            </w:r>
            <w:r w:rsidRPr="007C5F35">
              <w:rPr>
                <w:rFonts w:eastAsia="Times New Roman" w:cs="Times New Roman"/>
                <w:bCs/>
                <w:sz w:val="24"/>
                <w:szCs w:val="24"/>
                <w:lang w:eastAsia="ru-RU"/>
              </w:rPr>
              <w:t>до 31.12.2021</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87</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утверждённого Думой города генерального плана муниципального образования городской округ Сургут</w:t>
            </w:r>
          </w:p>
          <w:p w:rsidR="006E7729" w:rsidRPr="007C5F35" w:rsidRDefault="006E7729" w:rsidP="007C5F35">
            <w:pPr>
              <w:widowControl w:val="0"/>
              <w:autoSpaceDE w:val="0"/>
              <w:autoSpaceDN w:val="0"/>
              <w:adjustRightInd w:val="0"/>
              <w:rPr>
                <w:rFonts w:eastAsia="Times New Roman" w:cs="Times New Roman"/>
                <w:bCs/>
                <w:color w:val="000000"/>
                <w:sz w:val="24"/>
                <w:szCs w:val="24"/>
                <w:lang w:eastAsia="ru-RU"/>
              </w:rPr>
            </w:pP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88</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вступивших в силу судебных актов, которыми признаны несоответствующими законодательству отдельные положения генерального плана городского округа, правил землепользования и застройки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89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Соответствие правил землепользования и застройки действующей редакции генерального плана муниципального образования городской округ Сургут</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выданных градостроительных планов земельных участков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изданных муниципальных правовых актов о предоставлении разрешений на условно разрешённый вид использования земельных участков или объекта капитального строительства                        и на отклонение от предельных параметров разрешённого строительства, реконструкции объектов капитального строительства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разрешений на строительство, реконструкцию объектов капитального строительства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единой системы учёта, регистрации, хранения и предоставления пользователям информации базы данных государственной информационной системы о градостроительной деятельности</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осмотров земельных участков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Количество выявленных нарушений требований </w:t>
            </w:r>
            <w:hyperlink r:id="rId38" w:history="1">
              <w:r w:rsidRPr="007C5F35">
                <w:rPr>
                  <w:rFonts w:eastAsia="Times New Roman" w:cs="Times New Roman"/>
                  <w:bCs/>
                  <w:color w:val="000000"/>
                  <w:sz w:val="24"/>
                  <w:szCs w:val="24"/>
                  <w:lang w:eastAsia="ru-RU"/>
                </w:rPr>
                <w:t>земельного законодательства</w:t>
              </w:r>
            </w:hyperlink>
            <w:r w:rsidRPr="007C5F35">
              <w:rPr>
                <w:rFonts w:eastAsia="Times New Roman" w:cs="Times New Roman"/>
                <w:bCs/>
                <w:color w:val="000000"/>
                <w:sz w:val="24"/>
                <w:szCs w:val="24"/>
                <w:lang w:eastAsia="ru-RU"/>
              </w:rPr>
              <w:t xml:space="preserve"> Российской Федерации и законодательства субъекта Российской Федерации, за которые предусмотрена административная              и иная ответственность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направленных уведомлений о несоответствии указанных в уведомлении о планируемом строительстве параметров объекта индивидуального жилищного строительства или садового дома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направленных уведомлений о соответствии или несоответствии построенных                         или реконструированных объектов индивидуального жилищного строительства или садового дома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98</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решений Администрации города и решений суда о сносе самовольных (незаконных) некапитальных строений, сооружений на территории города за отчётный период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99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снесённых самовольных построек на основании вступивших в силу решений суда                      за отчётный период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решений об изъятии земельных участков для муниципальных нужд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101</w:t>
            </w:r>
          </w:p>
        </w:tc>
        <w:tc>
          <w:tcPr>
            <w:tcW w:w="10773" w:type="dxa"/>
            <w:tcBorders>
              <w:top w:val="single" w:sz="4" w:space="0" w:color="auto"/>
              <w:left w:val="single" w:sz="4" w:space="0" w:color="auto"/>
              <w:bottom w:val="single" w:sz="4" w:space="0" w:color="auto"/>
              <w:right w:val="single" w:sz="4" w:space="0" w:color="auto"/>
            </w:tcBorders>
          </w:tcPr>
          <w:p w:rsidR="006E7729"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утверждённой схемы размещения рекламных конструкций</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102</w:t>
            </w:r>
          </w:p>
        </w:tc>
        <w:tc>
          <w:tcPr>
            <w:tcW w:w="10773" w:type="dxa"/>
            <w:tcBorders>
              <w:top w:val="single" w:sz="4" w:space="0" w:color="auto"/>
              <w:left w:val="single" w:sz="4" w:space="0" w:color="auto"/>
              <w:bottom w:val="single" w:sz="4" w:space="0" w:color="auto"/>
              <w:right w:val="single" w:sz="4" w:space="0" w:color="auto"/>
            </w:tcBorders>
          </w:tcPr>
          <w:p w:rsid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выданных разрешений на установку и эксплуатацию рекламных конструкций                       на территории городского округа (ед.)</w:t>
            </w:r>
          </w:p>
          <w:p w:rsidR="006E7729" w:rsidRPr="007C5F35" w:rsidRDefault="006E7729" w:rsidP="007C5F35">
            <w:pPr>
              <w:widowControl w:val="0"/>
              <w:autoSpaceDE w:val="0"/>
              <w:autoSpaceDN w:val="0"/>
              <w:adjustRightInd w:val="0"/>
              <w:rPr>
                <w:rFonts w:eastAsia="Times New Roman" w:cs="Times New Roman"/>
                <w:bCs/>
                <w:color w:val="000000"/>
                <w:sz w:val="24"/>
                <w:szCs w:val="24"/>
                <w:lang w:eastAsia="ru-RU"/>
              </w:rPr>
            </w:pP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103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аннулированных разрешений на установку и эксплуатацию рекламных конструкций                    на территории городского округа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выданных предписаний о демонтаже самовольно установленных рекламных конструкций на территории городского округа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внесённых сведений об адресах (количество объектов адресации)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выполнения мероприятий по территориальной обороне муниципального образования городской округ Сургут Ханты-Мансийского автономного округа – Югры</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основных мероприятий муниципального образования городской округ Сургут             в области гражданской обороны, предупреждения и ликвидации чрезвычайных ситуаций, обеспечения пожарной безопасности и безопасности людей на водных объектах</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108</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муниципальных аварийно-спасательных служб, аварийно-спасательных формирований, специально уполномоченных на решение задач в области защиты населения от чрезвычайных ситуаций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109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аварийно-спасательных работ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лечебно-оздоровительных местностей и курортов местного значения на территории городского округа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устранённых нарушений от выявленных нарушений при осуществлении муниципального контроля в области использования и охраны особо охраняемых природных территорий местного значения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Плана мероприятий по мобилизационной подготовке муниципальных предприятий                           и учреждений, находящихся на территории городского округа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мероприятий по обеспечению безопасности людей на водных объектах, охране их жизни и здоровья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C64D8D">
            <w:pPr>
              <w:widowControl w:val="0"/>
              <w:autoSpaceDE w:val="0"/>
              <w:autoSpaceDN w:val="0"/>
              <w:adjustRightInd w:val="0"/>
              <w:rPr>
                <w:rFonts w:ascii="Arial" w:eastAsia="Times New Roman" w:hAnsi="Arial" w:cs="Arial"/>
                <w:sz w:val="24"/>
                <w:szCs w:val="24"/>
                <w:lang w:eastAsia="ru-RU"/>
              </w:rPr>
            </w:pPr>
            <w:r w:rsidRPr="007C5F35">
              <w:rPr>
                <w:rFonts w:eastAsia="Times New Roman" w:cs="Times New Roman"/>
                <w:bCs/>
                <w:color w:val="000000"/>
                <w:sz w:val="24"/>
                <w:szCs w:val="24"/>
                <w:lang w:eastAsia="ru-RU"/>
              </w:rPr>
              <w:t>Наличие Плана прикрытия водных объектов муниципального образования городской округ</w:t>
            </w:r>
            <w:r w:rsidR="00C64D8D">
              <w:rPr>
                <w:rFonts w:eastAsia="Times New Roman" w:cs="Times New Roman"/>
                <w:bCs/>
                <w:color w:val="000000"/>
                <w:sz w:val="24"/>
                <w:szCs w:val="24"/>
                <w:lang w:eastAsia="ru-RU"/>
              </w:rPr>
              <w:t xml:space="preserve">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115</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прибыльных сельскохозяйственных организаций в общем их числе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Выполнение программы (подпрограммы) развития субъектов малого и среднего предпринимательства и достижение ожидаемых результатов по показателям эффективности, установленных в программе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социально ориентированных некоммерческих организаций, получивших поддержку                  в отчётном периоде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118</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 xml:space="preserve">Общая численность граждан, вовлечённых центрами (сообществами, объединениями) поддержки добровольчества (волонтёрства) на базе образовательных организаций, некоммерческих организаций, </w:t>
            </w:r>
            <w:r w:rsidRPr="007C5F35">
              <w:rPr>
                <w:rFonts w:eastAsia="Times New Roman" w:cs="Times New Roman"/>
                <w:bCs/>
                <w:color w:val="000000"/>
                <w:sz w:val="24"/>
                <w:szCs w:val="24"/>
                <w:lang w:eastAsia="ru-RU"/>
              </w:rPr>
              <w:lastRenderedPageBreak/>
              <w:t>муниципальных учреждений, в добровольческую (волонтёрскую) деятельность (чел.)</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119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проведённых муниципальными учреждениями сферы молодёжной политики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120</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мероприятий, осуществляемых в пределах исполнения вопроса местного значения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121</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правил использования водных объектов общего пользования для личных и бытовых нужд                на территории муниципального образования городской округ Сургут</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сообщений в средствах массовой информации об ограничениях использования водных объектов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муниципального правового акта об утверждении мест массового отдыха населения                        на водных объектах</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граждан, участвующих в охране общественного порядка, в составе народных дружин (чел.)</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Наличие мер поддержки гражданам и их объединениям, участвующим в охране общественного порядка</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126</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sz w:val="24"/>
                <w:szCs w:val="24"/>
                <w:lang w:eastAsia="ru-RU"/>
              </w:rPr>
            </w:pPr>
            <w:r w:rsidRPr="007C5F35">
              <w:rPr>
                <w:rFonts w:eastAsia="Times New Roman" w:cs="Times New Roman"/>
                <w:bCs/>
                <w:sz w:val="24"/>
                <w:szCs w:val="24"/>
                <w:lang w:eastAsia="ru-RU"/>
              </w:rPr>
              <w:t>Доля устранённых нарушений от выявленных нарушений при осуществлении муниципального лесного контроля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sz w:val="24"/>
                <w:szCs w:val="24"/>
                <w:lang w:eastAsia="ru-RU"/>
              </w:rPr>
            </w:pPr>
            <w:r w:rsidRPr="007C5F35">
              <w:rPr>
                <w:rFonts w:eastAsia="Times New Roman" w:cs="Times New Roman"/>
                <w:bCs/>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127</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рассмотренных проектов разрешения на создание искусственного земельного участка             на водном объекте, находящемся в федеральной собственности и планируемом к созданию                             на территории городского округа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128</w:t>
            </w:r>
          </w:p>
        </w:tc>
        <w:tc>
          <w:tcPr>
            <w:tcW w:w="10773" w:type="dxa"/>
            <w:tcBorders>
              <w:top w:val="single" w:sz="4" w:space="0" w:color="auto"/>
              <w:left w:val="single" w:sz="4" w:space="0" w:color="auto"/>
              <w:bottom w:val="single" w:sz="4" w:space="0" w:color="auto"/>
              <w:right w:val="single" w:sz="4" w:space="0" w:color="auto"/>
            </w:tcBorders>
          </w:tcPr>
          <w:p w:rsidR="007C5F35" w:rsidRPr="00C64D8D"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проведённых открытых аукционов на право заключить договор о создании искусственного земельного участка на территории городского округа в соответствии с дейс</w:t>
            </w:r>
            <w:r w:rsidR="00C64D8D">
              <w:rPr>
                <w:rFonts w:eastAsia="Times New Roman" w:cs="Times New Roman"/>
                <w:bCs/>
                <w:color w:val="000000"/>
                <w:sz w:val="24"/>
                <w:szCs w:val="24"/>
                <w:lang w:eastAsia="ru-RU"/>
              </w:rPr>
              <w:t>твующим законодательством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129</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принятых в отчётном периоде нормативных правовых актов Администрации города, проекты которых прошли антикоррупционную экспертизу, к общему количеству принятых в отчётном периоде нормативных правовых актов Администрации города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130</w:t>
            </w:r>
            <w:r w:rsidRPr="007C5F35">
              <w:rPr>
                <w:rFonts w:eastAsia="Times New Roman" w:cs="Times New Roman"/>
                <w:bCs/>
                <w:color w:val="000000"/>
                <w:sz w:val="24"/>
                <w:szCs w:val="24"/>
                <w:vertAlign w:val="superscript"/>
                <w:lang w:eastAsia="ru-RU"/>
              </w:rPr>
              <w:t>У</w:t>
            </w:r>
          </w:p>
        </w:tc>
        <w:tc>
          <w:tcPr>
            <w:tcW w:w="10773" w:type="dxa"/>
            <w:tcBorders>
              <w:top w:val="single" w:sz="4" w:space="0" w:color="auto"/>
              <w:left w:val="single" w:sz="4" w:space="0" w:color="auto"/>
              <w:bottom w:val="single" w:sz="4" w:space="0" w:color="auto"/>
              <w:right w:val="single" w:sz="4" w:space="0" w:color="auto"/>
            </w:tcBorders>
          </w:tcPr>
          <w:p w:rsidR="00C64D8D"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Доля многоквартирных домов, расположенных на земельных участках, в отношении которых осуществлён государственный кадастровый учёт (%)</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131</w:t>
            </w:r>
          </w:p>
        </w:tc>
        <w:tc>
          <w:tcPr>
            <w:tcW w:w="10773" w:type="dxa"/>
            <w:tcBorders>
              <w:top w:val="single" w:sz="4" w:space="0" w:color="auto"/>
              <w:left w:val="single" w:sz="4" w:space="0" w:color="auto"/>
              <w:bottom w:val="single" w:sz="4" w:space="0" w:color="auto"/>
              <w:right w:val="single" w:sz="4" w:space="0" w:color="auto"/>
            </w:tcBorders>
          </w:tcPr>
          <w:p w:rsidR="006E7729" w:rsidRPr="007C5F35" w:rsidRDefault="007C5F35" w:rsidP="006E7729">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утверждённых карт-планов территории, по которым заказчиком является Администрация города и выполнение таких работ осуществляется за счёт бюджетных средств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132</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выявленных правообладателей ранее учтённых объектов недвижимости/направленных сведений о правообладателях данных объектов недвижимости для внесения в Единый государственный реестр недвижимости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lastRenderedPageBreak/>
              <w:t>133</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жалоб, по результатам которых проведены служебные проверки и подтверждены факты нарушения реализации государственных полномочий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134</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Количество предписаний государственных органов, уполномоченных на осуществление контроля                 за реализацией органами местного самоуправления отдельных государственных полномочий,             об устранении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(ед.)</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r w:rsidR="007C5F35" w:rsidRPr="007C5F35" w:rsidTr="007C5F35">
        <w:tc>
          <w:tcPr>
            <w:tcW w:w="1676" w:type="dxa"/>
            <w:tcBorders>
              <w:top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135</w:t>
            </w:r>
          </w:p>
        </w:tc>
        <w:tc>
          <w:tcPr>
            <w:tcW w:w="10773" w:type="dxa"/>
            <w:tcBorders>
              <w:top w:val="single" w:sz="4" w:space="0" w:color="auto"/>
              <w:left w:val="single" w:sz="4" w:space="0" w:color="auto"/>
              <w:bottom w:val="single" w:sz="4" w:space="0" w:color="auto"/>
              <w:right w:val="single" w:sz="4" w:space="0" w:color="auto"/>
            </w:tcBorders>
          </w:tcPr>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Выполнение протокольных поручений Думы города, поручений, данных на заседаниях постоянных комитетов и оформленных постановлениями Председателя Думы города:</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1) протокольных поручений Думы, всего:</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из них:</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выполнено в срок и снято с контроля;</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в срок (с указанием причин);</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срок выполнения продлён (перенесён);</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(с указанием причин);</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2) поручений, данных на заседаниях постоянных комитетов и оформленных постановлениями Председателя Думы города, всего:</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из них:</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выполнено в срок и снято с контроля;</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в срок (с указанием причин);</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срок выполнения продлён (перенесён);</w:t>
            </w:r>
          </w:p>
          <w:p w:rsidR="007C5F35" w:rsidRPr="007C5F35" w:rsidRDefault="007C5F35" w:rsidP="00C64D8D">
            <w:pPr>
              <w:widowControl w:val="0"/>
              <w:autoSpaceDE w:val="0"/>
              <w:autoSpaceDN w:val="0"/>
              <w:adjustRightInd w:val="0"/>
              <w:ind w:firstLine="321"/>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не выполнено (с указанием причин)</w:t>
            </w:r>
          </w:p>
        </w:tc>
        <w:tc>
          <w:tcPr>
            <w:tcW w:w="2409" w:type="dxa"/>
            <w:tcBorders>
              <w:top w:val="single" w:sz="4" w:space="0" w:color="auto"/>
              <w:left w:val="single" w:sz="4" w:space="0" w:color="auto"/>
              <w:bottom w:val="single" w:sz="4" w:space="0" w:color="auto"/>
            </w:tcBorders>
          </w:tcPr>
          <w:p w:rsidR="007C5F35" w:rsidRPr="007C5F35" w:rsidRDefault="007C5F35" w:rsidP="007C5F35">
            <w:pPr>
              <w:widowControl w:val="0"/>
              <w:autoSpaceDE w:val="0"/>
              <w:autoSpaceDN w:val="0"/>
              <w:adjustRightInd w:val="0"/>
              <w:jc w:val="center"/>
              <w:rPr>
                <w:rFonts w:eastAsia="Times New Roman" w:cs="Times New Roman"/>
                <w:bCs/>
                <w:color w:val="000000"/>
                <w:sz w:val="24"/>
                <w:szCs w:val="24"/>
                <w:lang w:eastAsia="ru-RU"/>
              </w:rPr>
            </w:pPr>
            <w:r w:rsidRPr="007C5F35">
              <w:rPr>
                <w:rFonts w:eastAsia="Times New Roman" w:cs="Times New Roman"/>
                <w:bCs/>
                <w:color w:val="000000"/>
                <w:sz w:val="24"/>
                <w:szCs w:val="24"/>
                <w:lang w:eastAsia="ru-RU"/>
              </w:rPr>
              <w:t>Применяется</w:t>
            </w:r>
          </w:p>
        </w:tc>
      </w:tr>
    </w:tbl>
    <w:p w:rsidR="007C5F35" w:rsidRPr="007C5F35" w:rsidRDefault="007C5F35" w:rsidP="007C5F35">
      <w:pPr>
        <w:widowControl w:val="0"/>
        <w:autoSpaceDE w:val="0"/>
        <w:autoSpaceDN w:val="0"/>
        <w:adjustRightInd w:val="0"/>
        <w:rPr>
          <w:rFonts w:eastAsia="Times New Roman" w:cs="Times New Roman"/>
          <w:bCs/>
          <w:color w:val="000000"/>
          <w:sz w:val="24"/>
          <w:szCs w:val="24"/>
          <w:lang w:eastAsia="ru-RU"/>
        </w:rPr>
      </w:pPr>
    </w:p>
    <w:p w:rsidR="007C5F35" w:rsidRDefault="007C5F35">
      <w:pPr>
        <w:spacing w:after="200" w:line="276" w:lineRule="auto"/>
        <w:jc w:val="left"/>
        <w:rPr>
          <w:rFonts w:eastAsia="Times New Roman" w:cs="Times New Roman"/>
          <w:szCs w:val="20"/>
          <w:lang w:eastAsia="ru-RU"/>
        </w:rPr>
      </w:pPr>
    </w:p>
    <w:sectPr w:rsidR="007C5F35" w:rsidSect="007C5F35">
      <w:headerReference w:type="default" r:id="rId39"/>
      <w:footerReference w:type="default" r:id="rId40"/>
      <w:pgSz w:w="16800" w:h="11900" w:orient="landscape"/>
      <w:pgMar w:top="1701" w:right="1134" w:bottom="851" w:left="1134" w:header="720" w:footer="720" w:gutter="0"/>
      <w:pgNumType w:start="2"/>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E8" w:rsidRDefault="00AE3BE8" w:rsidP="006757BB">
      <w:r>
        <w:separator/>
      </w:r>
    </w:p>
  </w:endnote>
  <w:endnote w:type="continuationSeparator" w:id="0">
    <w:p w:rsidR="00AE3BE8" w:rsidRDefault="00AE3BE8" w:rsidP="006757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igCity Grotesque Pro Book">
    <w:altName w:val="Cambria Math"/>
    <w:panose1 w:val="00000000000000000000"/>
    <w:charset w:val="00"/>
    <w:family w:val="roman"/>
    <w:notTrueType/>
    <w:pitch w:val="variable"/>
    <w:sig w:usb0="80000207" w:usb1="00000002"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29" w:rsidRDefault="006E7729" w:rsidP="007C5F35">
    <w:pPr>
      <w:pStyle w:val="a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end"/>
    </w:r>
  </w:p>
  <w:p w:rsidR="006E7729" w:rsidRDefault="006E7729" w:rsidP="007C5F35">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29" w:rsidRPr="0060439E" w:rsidRDefault="006E7729">
    <w:pPr>
      <w:pStyle w:val="af"/>
      <w:jc w:val="right"/>
      <w:rPr>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29" w:rsidRPr="00FE63AD" w:rsidRDefault="006E7729" w:rsidP="007C5F35">
    <w:pPr>
      <w:pStyle w:val="af"/>
      <w:jc w:val="right"/>
      <w:rPr>
        <w:szCs w:val="28"/>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29" w:rsidRPr="009E52C0" w:rsidRDefault="006E7729">
    <w:pPr>
      <w:pStyle w:val="af"/>
      <w:jc w:val="right"/>
      <w:rPr>
        <w:rFonts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E8" w:rsidRDefault="00AE3BE8" w:rsidP="006757BB">
      <w:r>
        <w:separator/>
      </w:r>
    </w:p>
  </w:footnote>
  <w:footnote w:type="continuationSeparator" w:id="0">
    <w:p w:rsidR="00AE3BE8" w:rsidRDefault="00AE3BE8" w:rsidP="006757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7729" w:rsidRDefault="006E7729">
    <w:pPr>
      <w:pStyle w:val="ad"/>
      <w:jc w:val="center"/>
      <w:rPr>
        <w:rFonts w:cs="Times New Roman"/>
        <w:sz w:val="20"/>
        <w:szCs w:val="20"/>
      </w:rPr>
    </w:pPr>
  </w:p>
  <w:p w:rsidR="006E7729" w:rsidRPr="006E7729" w:rsidRDefault="006E7729">
    <w:pPr>
      <w:pStyle w:val="ad"/>
      <w:jc w:val="center"/>
      <w:rPr>
        <w:rFonts w:cs="Times New Roman"/>
        <w:sz w:val="20"/>
        <w:szCs w:val="20"/>
      </w:rPr>
    </w:pPr>
    <w:r w:rsidRPr="006E7729">
      <w:rPr>
        <w:rFonts w:cs="Times New Roman"/>
        <w:sz w:val="20"/>
        <w:szCs w:val="20"/>
      </w:rPr>
      <w:fldChar w:fldCharType="begin"/>
    </w:r>
    <w:r w:rsidRPr="006E7729">
      <w:rPr>
        <w:rFonts w:cs="Times New Roman"/>
        <w:sz w:val="20"/>
        <w:szCs w:val="20"/>
      </w:rPr>
      <w:instrText>PAGE   \* MERGEFORMAT</w:instrText>
    </w:r>
    <w:r w:rsidRPr="006E7729">
      <w:rPr>
        <w:rFonts w:cs="Times New Roman"/>
        <w:sz w:val="20"/>
        <w:szCs w:val="20"/>
      </w:rPr>
      <w:fldChar w:fldCharType="separate"/>
    </w:r>
    <w:r w:rsidR="00C61D0B">
      <w:rPr>
        <w:rFonts w:cs="Times New Roman"/>
        <w:noProof/>
        <w:sz w:val="20"/>
        <w:szCs w:val="20"/>
      </w:rPr>
      <w:t>26</w:t>
    </w:r>
    <w:r w:rsidRPr="006E7729">
      <w:rPr>
        <w:rFonts w:cs="Times New Roman"/>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6D2A5404"/>
    <w:lvl w:ilvl="0">
      <w:numFmt w:val="bullet"/>
      <w:lvlText w:val="*"/>
      <w:lvlJc w:val="left"/>
    </w:lvl>
  </w:abstractNum>
  <w:abstractNum w:abstractNumId="1" w15:restartNumberingAfterBreak="0">
    <w:nsid w:val="2F0D3D68"/>
    <w:multiLevelType w:val="hybridMultilevel"/>
    <w:tmpl w:val="5BC61372"/>
    <w:lvl w:ilvl="0" w:tplc="DA1AD9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394E1B00"/>
    <w:multiLevelType w:val="singleLevel"/>
    <w:tmpl w:val="EDBA8B22"/>
    <w:lvl w:ilvl="0">
      <w:start w:val="3"/>
      <w:numFmt w:val="decimal"/>
      <w:lvlText w:val="%1."/>
      <w:legacy w:legacy="1" w:legacySpace="0" w:legacyIndent="382"/>
      <w:lvlJc w:val="left"/>
      <w:rPr>
        <w:rFonts w:ascii="Times New Roman CYR" w:hAnsi="Times New Roman CYR" w:cs="Times New Roman CYR" w:hint="default"/>
      </w:rPr>
    </w:lvl>
  </w:abstractNum>
  <w:abstractNum w:abstractNumId="3" w15:restartNumberingAfterBreak="0">
    <w:nsid w:val="433E513F"/>
    <w:multiLevelType w:val="multilevel"/>
    <w:tmpl w:val="7B141978"/>
    <w:lvl w:ilvl="0">
      <w:start w:val="1"/>
      <w:numFmt w:val="decimal"/>
      <w:pStyle w:val="1"/>
      <w:lvlText w:val="%1."/>
      <w:lvlJc w:val="left"/>
      <w:pPr>
        <w:ind w:left="360" w:hanging="360"/>
      </w:pPr>
    </w:lvl>
    <w:lvl w:ilvl="1">
      <w:start w:val="1"/>
      <w:numFmt w:val="decimal"/>
      <w:pStyle w:val="2"/>
      <w:lvlText w:val="%1.%2."/>
      <w:lvlJc w:val="left"/>
      <w:pPr>
        <w:ind w:left="792" w:hanging="432"/>
      </w:pPr>
      <w:rPr>
        <w:b w:val="0"/>
        <w:i w:val="0"/>
      </w:rPr>
    </w:lvl>
    <w:lvl w:ilvl="2">
      <w:start w:val="1"/>
      <w:numFmt w:val="decimal"/>
      <w:pStyle w:va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4721798D"/>
    <w:multiLevelType w:val="multilevel"/>
    <w:tmpl w:val="00C27510"/>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pStyle w:val="30"/>
      <w:lvlText w:val="%3)"/>
      <w:lvlJc w:val="left"/>
      <w:pPr>
        <w:ind w:left="1781" w:hanging="504"/>
      </w:pPr>
      <w:rPr>
        <w:b w:val="0"/>
        <w:color w:val="00000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E402B53"/>
    <w:multiLevelType w:val="hybridMultilevel"/>
    <w:tmpl w:val="73166FDC"/>
    <w:lvl w:ilvl="0" w:tplc="C04CDD1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F483AC9"/>
    <w:multiLevelType w:val="hybridMultilevel"/>
    <w:tmpl w:val="D23CEADC"/>
    <w:lvl w:ilvl="0" w:tplc="72EA0CF6">
      <w:start w:val="1"/>
      <w:numFmt w:val="bullet"/>
      <w:lvlText w:val="-"/>
      <w:lvlJc w:val="left"/>
      <w:pPr>
        <w:ind w:left="1433" w:hanging="360"/>
      </w:pPr>
      <w:rPr>
        <w:rFonts w:ascii="Times New Roman CYR" w:hAnsi="Times New Roman CYR"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4B15792"/>
    <w:multiLevelType w:val="hybridMultilevel"/>
    <w:tmpl w:val="52F28F92"/>
    <w:lvl w:ilvl="0" w:tplc="96EA268C">
      <w:start w:val="1"/>
      <w:numFmt w:val="decimal"/>
      <w:lvlText w:val="%1)"/>
      <w:lvlJc w:val="left"/>
      <w:pPr>
        <w:ind w:left="928"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60586450"/>
    <w:multiLevelType w:val="hybridMultilevel"/>
    <w:tmpl w:val="E3B67876"/>
    <w:lvl w:ilvl="0" w:tplc="F468C85C">
      <w:start w:val="1"/>
      <w:numFmt w:val="decimal"/>
      <w:suff w:val="space"/>
      <w:lvlText w:val="%1)"/>
      <w:lvlJc w:val="left"/>
      <w:pPr>
        <w:ind w:left="0" w:firstLine="71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60E46338"/>
    <w:multiLevelType w:val="hybridMultilevel"/>
    <w:tmpl w:val="4D44AD84"/>
    <w:lvl w:ilvl="0" w:tplc="0419000F">
      <w:start w:val="1"/>
      <w:numFmt w:val="decimal"/>
      <w:lvlText w:val="%1."/>
      <w:lvlJc w:val="left"/>
      <w:pPr>
        <w:ind w:left="785"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6AEA6EC6"/>
    <w:multiLevelType w:val="hybridMultilevel"/>
    <w:tmpl w:val="D50E2F22"/>
    <w:lvl w:ilvl="0" w:tplc="1E1426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D248E7"/>
    <w:multiLevelType w:val="hybridMultilevel"/>
    <w:tmpl w:val="FF120F58"/>
    <w:lvl w:ilvl="0" w:tplc="04190001">
      <w:start w:val="1"/>
      <w:numFmt w:val="bullet"/>
      <w:lvlText w:val=""/>
      <w:lvlJc w:val="left"/>
      <w:pPr>
        <w:ind w:left="720" w:hanging="360"/>
      </w:pPr>
      <w:rPr>
        <w:rFonts w:ascii="Symbol" w:hAnsi="Symbol"/>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15:restartNumberingAfterBreak="0">
    <w:nsid w:val="753E2064"/>
    <w:multiLevelType w:val="multilevel"/>
    <w:tmpl w:val="C80616AC"/>
    <w:lvl w:ilvl="0">
      <w:start w:val="1"/>
      <w:numFmt w:val="decimal"/>
      <w:pStyle w:val="10"/>
      <w:lvlText w:val="%1."/>
      <w:lvlJc w:val="left"/>
      <w:pPr>
        <w:ind w:left="360" w:hanging="360"/>
      </w:pPr>
    </w:lvl>
    <w:lvl w:ilvl="1">
      <w:start w:val="1"/>
      <w:numFmt w:val="decimal"/>
      <w:pStyle w:val="20"/>
      <w:lvlText w:val="%1.%2."/>
      <w:lvlJc w:val="left"/>
      <w:pPr>
        <w:ind w:left="792" w:hanging="432"/>
      </w:pPr>
      <w:rPr>
        <w:b w:val="0"/>
      </w:rPr>
    </w:lvl>
    <w:lvl w:ilvl="2">
      <w:start w:val="1"/>
      <w:numFmt w:val="decimal"/>
      <w:pStyle w:val="31"/>
      <w:lvlText w:val="%1.%2.%3."/>
      <w:lvlJc w:val="left"/>
      <w:pPr>
        <w:ind w:left="1224" w:hanging="50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lvlOverride w:ilvl="0">
      <w:lvl w:ilvl="0">
        <w:numFmt w:val="bullet"/>
        <w:lvlText w:val=""/>
        <w:legacy w:legacy="1" w:legacySpace="0" w:legacyIndent="173"/>
        <w:lvlJc w:val="left"/>
        <w:rPr>
          <w:rFonts w:ascii="Symbol" w:hAnsi="Symbol" w:hint="default"/>
        </w:rPr>
      </w:lvl>
    </w:lvlOverride>
  </w:num>
  <w:num w:numId="2">
    <w:abstractNumId w:val="2"/>
  </w:num>
  <w:num w:numId="3">
    <w:abstractNumId w:val="6"/>
  </w:num>
  <w:num w:numId="4">
    <w:abstractNumId w:val="7"/>
  </w:num>
  <w:num w:numId="5">
    <w:abstractNumId w:val="1"/>
  </w:num>
  <w:num w:numId="6">
    <w:abstractNumId w:val="8"/>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2"/>
  </w:num>
  <w:num w:numId="11">
    <w:abstractNumId w:val="3"/>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9"/>
  <w:drawingGridHorizontalSpacing w:val="14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40B"/>
    <w:rsid w:val="00005B75"/>
    <w:rsid w:val="00022F76"/>
    <w:rsid w:val="000633A1"/>
    <w:rsid w:val="00063A47"/>
    <w:rsid w:val="00064A49"/>
    <w:rsid w:val="00070E46"/>
    <w:rsid w:val="00072D85"/>
    <w:rsid w:val="00075B6F"/>
    <w:rsid w:val="00077080"/>
    <w:rsid w:val="00080A81"/>
    <w:rsid w:val="00080FC8"/>
    <w:rsid w:val="000849F7"/>
    <w:rsid w:val="00093E83"/>
    <w:rsid w:val="000B194C"/>
    <w:rsid w:val="000C5399"/>
    <w:rsid w:val="000D02A6"/>
    <w:rsid w:val="00100262"/>
    <w:rsid w:val="0012101A"/>
    <w:rsid w:val="00131157"/>
    <w:rsid w:val="001439C2"/>
    <w:rsid w:val="00145E65"/>
    <w:rsid w:val="0015286F"/>
    <w:rsid w:val="00156BD5"/>
    <w:rsid w:val="001734EA"/>
    <w:rsid w:val="001930EF"/>
    <w:rsid w:val="001B7201"/>
    <w:rsid w:val="001D226B"/>
    <w:rsid w:val="001D4643"/>
    <w:rsid w:val="001E35C6"/>
    <w:rsid w:val="001F5CB8"/>
    <w:rsid w:val="002127BA"/>
    <w:rsid w:val="00224196"/>
    <w:rsid w:val="0023426F"/>
    <w:rsid w:val="00244B5C"/>
    <w:rsid w:val="0024740A"/>
    <w:rsid w:val="00254B17"/>
    <w:rsid w:val="002566D2"/>
    <w:rsid w:val="002627CD"/>
    <w:rsid w:val="00265A49"/>
    <w:rsid w:val="002829C9"/>
    <w:rsid w:val="00283C65"/>
    <w:rsid w:val="00297C63"/>
    <w:rsid w:val="002C0DA2"/>
    <w:rsid w:val="002C2899"/>
    <w:rsid w:val="002D6FDF"/>
    <w:rsid w:val="002E22CC"/>
    <w:rsid w:val="00310A0E"/>
    <w:rsid w:val="00312D3C"/>
    <w:rsid w:val="003224F1"/>
    <w:rsid w:val="003311E7"/>
    <w:rsid w:val="003414E9"/>
    <w:rsid w:val="003502CB"/>
    <w:rsid w:val="003521EB"/>
    <w:rsid w:val="003648CC"/>
    <w:rsid w:val="00385A9B"/>
    <w:rsid w:val="00391330"/>
    <w:rsid w:val="00391653"/>
    <w:rsid w:val="00392205"/>
    <w:rsid w:val="003B2D4F"/>
    <w:rsid w:val="003E001D"/>
    <w:rsid w:val="003E20DC"/>
    <w:rsid w:val="003E2595"/>
    <w:rsid w:val="003E689A"/>
    <w:rsid w:val="00403870"/>
    <w:rsid w:val="004043F8"/>
    <w:rsid w:val="00411F11"/>
    <w:rsid w:val="004256ED"/>
    <w:rsid w:val="0043172B"/>
    <w:rsid w:val="00431C26"/>
    <w:rsid w:val="004441C6"/>
    <w:rsid w:val="004534A1"/>
    <w:rsid w:val="004729AB"/>
    <w:rsid w:val="004A338B"/>
    <w:rsid w:val="004B3830"/>
    <w:rsid w:val="004C4E88"/>
    <w:rsid w:val="004E2731"/>
    <w:rsid w:val="004F3970"/>
    <w:rsid w:val="004F6D35"/>
    <w:rsid w:val="00503B30"/>
    <w:rsid w:val="00514C92"/>
    <w:rsid w:val="00520655"/>
    <w:rsid w:val="0055040A"/>
    <w:rsid w:val="00555484"/>
    <w:rsid w:val="00555DB1"/>
    <w:rsid w:val="0056401D"/>
    <w:rsid w:val="00564873"/>
    <w:rsid w:val="005733E0"/>
    <w:rsid w:val="00590934"/>
    <w:rsid w:val="005A497D"/>
    <w:rsid w:val="005A690F"/>
    <w:rsid w:val="005B0CF7"/>
    <w:rsid w:val="005C2C05"/>
    <w:rsid w:val="005E2C49"/>
    <w:rsid w:val="005E4B83"/>
    <w:rsid w:val="005F3588"/>
    <w:rsid w:val="00632D88"/>
    <w:rsid w:val="006376FB"/>
    <w:rsid w:val="00645647"/>
    <w:rsid w:val="00645899"/>
    <w:rsid w:val="00645AD6"/>
    <w:rsid w:val="00651693"/>
    <w:rsid w:val="0065237D"/>
    <w:rsid w:val="006525E6"/>
    <w:rsid w:val="00654E2E"/>
    <w:rsid w:val="00662C1E"/>
    <w:rsid w:val="006637FE"/>
    <w:rsid w:val="00674975"/>
    <w:rsid w:val="006757BB"/>
    <w:rsid w:val="00677894"/>
    <w:rsid w:val="006A46FF"/>
    <w:rsid w:val="006A743E"/>
    <w:rsid w:val="006C02FC"/>
    <w:rsid w:val="006D794C"/>
    <w:rsid w:val="006E1A1C"/>
    <w:rsid w:val="006E7729"/>
    <w:rsid w:val="006F5A64"/>
    <w:rsid w:val="007059EF"/>
    <w:rsid w:val="00707909"/>
    <w:rsid w:val="0071370F"/>
    <w:rsid w:val="00744B53"/>
    <w:rsid w:val="00752261"/>
    <w:rsid w:val="0075544E"/>
    <w:rsid w:val="00755E16"/>
    <w:rsid w:val="00760848"/>
    <w:rsid w:val="00765012"/>
    <w:rsid w:val="007673D5"/>
    <w:rsid w:val="007A093B"/>
    <w:rsid w:val="007A516A"/>
    <w:rsid w:val="007A6477"/>
    <w:rsid w:val="007A7339"/>
    <w:rsid w:val="007B3320"/>
    <w:rsid w:val="007B4D91"/>
    <w:rsid w:val="007C5F35"/>
    <w:rsid w:val="007D2B57"/>
    <w:rsid w:val="007E4424"/>
    <w:rsid w:val="007F3370"/>
    <w:rsid w:val="007F5B20"/>
    <w:rsid w:val="008009E7"/>
    <w:rsid w:val="00803407"/>
    <w:rsid w:val="008052ED"/>
    <w:rsid w:val="0080641B"/>
    <w:rsid w:val="0081348C"/>
    <w:rsid w:val="00813AF0"/>
    <w:rsid w:val="00833826"/>
    <w:rsid w:val="00833AE2"/>
    <w:rsid w:val="00847DDA"/>
    <w:rsid w:val="00854D0C"/>
    <w:rsid w:val="008673F5"/>
    <w:rsid w:val="00885287"/>
    <w:rsid w:val="00894EB3"/>
    <w:rsid w:val="008A192E"/>
    <w:rsid w:val="008A64CA"/>
    <w:rsid w:val="008A66F1"/>
    <w:rsid w:val="008C26BC"/>
    <w:rsid w:val="008D6922"/>
    <w:rsid w:val="008F2CFE"/>
    <w:rsid w:val="008F3153"/>
    <w:rsid w:val="008F5360"/>
    <w:rsid w:val="009309FB"/>
    <w:rsid w:val="009653C1"/>
    <w:rsid w:val="00967340"/>
    <w:rsid w:val="0098622B"/>
    <w:rsid w:val="00987D20"/>
    <w:rsid w:val="009A1C08"/>
    <w:rsid w:val="009B33D3"/>
    <w:rsid w:val="009B44FE"/>
    <w:rsid w:val="009B65D8"/>
    <w:rsid w:val="009D677F"/>
    <w:rsid w:val="009E2F76"/>
    <w:rsid w:val="00A1616E"/>
    <w:rsid w:val="00A20663"/>
    <w:rsid w:val="00A22CD5"/>
    <w:rsid w:val="00A2531B"/>
    <w:rsid w:val="00A31AC8"/>
    <w:rsid w:val="00A34E83"/>
    <w:rsid w:val="00A46FD3"/>
    <w:rsid w:val="00A47AA3"/>
    <w:rsid w:val="00A70976"/>
    <w:rsid w:val="00A73208"/>
    <w:rsid w:val="00A754FE"/>
    <w:rsid w:val="00A80ED6"/>
    <w:rsid w:val="00A8614E"/>
    <w:rsid w:val="00AA2436"/>
    <w:rsid w:val="00AA4F67"/>
    <w:rsid w:val="00AA6666"/>
    <w:rsid w:val="00AB0F39"/>
    <w:rsid w:val="00AD446C"/>
    <w:rsid w:val="00AE0D14"/>
    <w:rsid w:val="00AE10FF"/>
    <w:rsid w:val="00AE3BE8"/>
    <w:rsid w:val="00AF79E1"/>
    <w:rsid w:val="00B059EE"/>
    <w:rsid w:val="00B06787"/>
    <w:rsid w:val="00B072F2"/>
    <w:rsid w:val="00B07DE4"/>
    <w:rsid w:val="00B12CA2"/>
    <w:rsid w:val="00B14A95"/>
    <w:rsid w:val="00B371AD"/>
    <w:rsid w:val="00B50DF1"/>
    <w:rsid w:val="00B534A7"/>
    <w:rsid w:val="00B60969"/>
    <w:rsid w:val="00B723A0"/>
    <w:rsid w:val="00B74228"/>
    <w:rsid w:val="00B8274D"/>
    <w:rsid w:val="00B9079D"/>
    <w:rsid w:val="00B92164"/>
    <w:rsid w:val="00BA58CF"/>
    <w:rsid w:val="00BA7099"/>
    <w:rsid w:val="00BC1EAC"/>
    <w:rsid w:val="00BE1CA7"/>
    <w:rsid w:val="00BE4D8C"/>
    <w:rsid w:val="00C04801"/>
    <w:rsid w:val="00C07A87"/>
    <w:rsid w:val="00C146BA"/>
    <w:rsid w:val="00C24A6E"/>
    <w:rsid w:val="00C45521"/>
    <w:rsid w:val="00C53527"/>
    <w:rsid w:val="00C54326"/>
    <w:rsid w:val="00C569A9"/>
    <w:rsid w:val="00C61D0B"/>
    <w:rsid w:val="00C64D8D"/>
    <w:rsid w:val="00C72CC8"/>
    <w:rsid w:val="00C921B1"/>
    <w:rsid w:val="00CA11FF"/>
    <w:rsid w:val="00CA35C9"/>
    <w:rsid w:val="00CA6290"/>
    <w:rsid w:val="00CA62D5"/>
    <w:rsid w:val="00CD3AB8"/>
    <w:rsid w:val="00D3340B"/>
    <w:rsid w:val="00D424AF"/>
    <w:rsid w:val="00D46BE5"/>
    <w:rsid w:val="00D47BC5"/>
    <w:rsid w:val="00D83126"/>
    <w:rsid w:val="00D9248D"/>
    <w:rsid w:val="00DB631F"/>
    <w:rsid w:val="00DC313D"/>
    <w:rsid w:val="00DE5206"/>
    <w:rsid w:val="00DF5B09"/>
    <w:rsid w:val="00DF72B6"/>
    <w:rsid w:val="00E02020"/>
    <w:rsid w:val="00E05DD8"/>
    <w:rsid w:val="00E07875"/>
    <w:rsid w:val="00E13542"/>
    <w:rsid w:val="00E158F6"/>
    <w:rsid w:val="00E1643B"/>
    <w:rsid w:val="00E16EF6"/>
    <w:rsid w:val="00E2057A"/>
    <w:rsid w:val="00E33182"/>
    <w:rsid w:val="00E34B2D"/>
    <w:rsid w:val="00E41CBB"/>
    <w:rsid w:val="00E4289A"/>
    <w:rsid w:val="00E45B4B"/>
    <w:rsid w:val="00E510F6"/>
    <w:rsid w:val="00E52CFD"/>
    <w:rsid w:val="00E57712"/>
    <w:rsid w:val="00E616A0"/>
    <w:rsid w:val="00E71A13"/>
    <w:rsid w:val="00E91C0B"/>
    <w:rsid w:val="00EC4537"/>
    <w:rsid w:val="00EC5D33"/>
    <w:rsid w:val="00ED282A"/>
    <w:rsid w:val="00ED3D46"/>
    <w:rsid w:val="00EE179F"/>
    <w:rsid w:val="00EE1F98"/>
    <w:rsid w:val="00F02B8B"/>
    <w:rsid w:val="00F07D7E"/>
    <w:rsid w:val="00F1068F"/>
    <w:rsid w:val="00F107E8"/>
    <w:rsid w:val="00F14541"/>
    <w:rsid w:val="00F15209"/>
    <w:rsid w:val="00F25340"/>
    <w:rsid w:val="00F257DA"/>
    <w:rsid w:val="00F327B1"/>
    <w:rsid w:val="00F34BA0"/>
    <w:rsid w:val="00F35FCF"/>
    <w:rsid w:val="00F372DA"/>
    <w:rsid w:val="00F41FE1"/>
    <w:rsid w:val="00F448E0"/>
    <w:rsid w:val="00F5631F"/>
    <w:rsid w:val="00F619C0"/>
    <w:rsid w:val="00F634FC"/>
    <w:rsid w:val="00F64DEF"/>
    <w:rsid w:val="00F668CF"/>
    <w:rsid w:val="00F7430C"/>
    <w:rsid w:val="00F8051B"/>
    <w:rsid w:val="00F8778F"/>
    <w:rsid w:val="00F96DDD"/>
    <w:rsid w:val="00FC4204"/>
    <w:rsid w:val="00FD1F68"/>
    <w:rsid w:val="00FF029E"/>
    <w:rsid w:val="00FF60AF"/>
    <w:rsid w:val="00FF78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28F015"/>
  <w15:docId w15:val="{3C3C29A9-B7D1-4B78-BC0B-DC0952C1A0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17"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8"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6477"/>
    <w:pPr>
      <w:spacing w:after="0" w:line="240" w:lineRule="auto"/>
      <w:jc w:val="both"/>
    </w:pPr>
    <w:rPr>
      <w:rFonts w:ascii="Times New Roman" w:hAnsi="Times New Roman"/>
      <w:sz w:val="28"/>
    </w:rPr>
  </w:style>
  <w:style w:type="paragraph" w:styleId="11">
    <w:name w:val="heading 1"/>
    <w:basedOn w:val="a"/>
    <w:next w:val="a"/>
    <w:link w:val="12"/>
    <w:uiPriority w:val="99"/>
    <w:qFormat/>
    <w:rsid w:val="007F337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1">
    <w:name w:val="heading 2"/>
    <w:basedOn w:val="a"/>
    <w:link w:val="22"/>
    <w:unhideWhenUsed/>
    <w:qFormat/>
    <w:rsid w:val="005A497D"/>
    <w:pPr>
      <w:spacing w:before="100" w:beforeAutospacing="1" w:after="100" w:afterAutospacing="1"/>
      <w:jc w:val="left"/>
      <w:outlineLvl w:val="1"/>
    </w:pPr>
    <w:rPr>
      <w:rFonts w:eastAsia="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E4424"/>
    <w:rPr>
      <w:rFonts w:ascii="Tahoma" w:hAnsi="Tahoma" w:cs="Tahoma"/>
      <w:sz w:val="16"/>
      <w:szCs w:val="16"/>
    </w:rPr>
  </w:style>
  <w:style w:type="character" w:customStyle="1" w:styleId="a4">
    <w:name w:val="Текст выноски Знак"/>
    <w:basedOn w:val="a0"/>
    <w:link w:val="a3"/>
    <w:uiPriority w:val="99"/>
    <w:semiHidden/>
    <w:rsid w:val="007E4424"/>
    <w:rPr>
      <w:rFonts w:ascii="Tahoma" w:hAnsi="Tahoma" w:cs="Tahoma"/>
      <w:sz w:val="16"/>
      <w:szCs w:val="16"/>
    </w:rPr>
  </w:style>
  <w:style w:type="character" w:styleId="a5">
    <w:name w:val="Placeholder Text"/>
    <w:basedOn w:val="a0"/>
    <w:uiPriority w:val="99"/>
    <w:semiHidden/>
    <w:rsid w:val="001734EA"/>
    <w:rPr>
      <w:color w:val="808080"/>
    </w:rPr>
  </w:style>
  <w:style w:type="paragraph" w:styleId="a6">
    <w:name w:val="List Paragraph"/>
    <w:basedOn w:val="a"/>
    <w:uiPriority w:val="34"/>
    <w:qFormat/>
    <w:rsid w:val="003414E9"/>
    <w:pPr>
      <w:ind w:left="720"/>
      <w:contextualSpacing/>
    </w:pPr>
  </w:style>
  <w:style w:type="paragraph" w:styleId="a7">
    <w:name w:val="Body Text"/>
    <w:basedOn w:val="a"/>
    <w:link w:val="a8"/>
    <w:uiPriority w:val="99"/>
    <w:unhideWhenUsed/>
    <w:rsid w:val="00F15209"/>
    <w:pPr>
      <w:spacing w:after="120"/>
    </w:pPr>
  </w:style>
  <w:style w:type="character" w:customStyle="1" w:styleId="a8">
    <w:name w:val="Основной текст Знак"/>
    <w:basedOn w:val="a0"/>
    <w:link w:val="a7"/>
    <w:uiPriority w:val="99"/>
    <w:rsid w:val="00F15209"/>
    <w:rPr>
      <w:rFonts w:ascii="Times New Roman" w:hAnsi="Times New Roman"/>
      <w:sz w:val="28"/>
    </w:rPr>
  </w:style>
  <w:style w:type="paragraph" w:styleId="a9">
    <w:name w:val="Body Text First Indent"/>
    <w:basedOn w:val="a7"/>
    <w:link w:val="aa"/>
    <w:uiPriority w:val="1"/>
    <w:qFormat/>
    <w:rsid w:val="00F15209"/>
    <w:pPr>
      <w:spacing w:after="0"/>
      <w:ind w:firstLine="709"/>
    </w:pPr>
  </w:style>
  <w:style w:type="character" w:customStyle="1" w:styleId="aa">
    <w:name w:val="Красная строка Знак"/>
    <w:basedOn w:val="a8"/>
    <w:link w:val="a9"/>
    <w:uiPriority w:val="1"/>
    <w:rsid w:val="00F15209"/>
    <w:rPr>
      <w:rFonts w:ascii="Times New Roman" w:hAnsi="Times New Roman"/>
      <w:sz w:val="28"/>
    </w:rPr>
  </w:style>
  <w:style w:type="paragraph" w:styleId="ab">
    <w:name w:val="Title"/>
    <w:basedOn w:val="a"/>
    <w:next w:val="a9"/>
    <w:link w:val="ac"/>
    <w:uiPriority w:val="8"/>
    <w:qFormat/>
    <w:rsid w:val="006A743E"/>
    <w:pPr>
      <w:spacing w:after="280"/>
      <w:ind w:right="5103"/>
      <w:contextualSpacing/>
    </w:pPr>
    <w:rPr>
      <w:rFonts w:eastAsiaTheme="majorEastAsia" w:cstheme="majorBidi"/>
      <w:spacing w:val="5"/>
      <w:kern w:val="28"/>
      <w:szCs w:val="52"/>
    </w:rPr>
  </w:style>
  <w:style w:type="character" w:customStyle="1" w:styleId="ac">
    <w:name w:val="Заголовок Знак"/>
    <w:basedOn w:val="a0"/>
    <w:link w:val="ab"/>
    <w:uiPriority w:val="8"/>
    <w:rsid w:val="006A743E"/>
    <w:rPr>
      <w:rFonts w:ascii="Times New Roman" w:eastAsiaTheme="majorEastAsia" w:hAnsi="Times New Roman" w:cstheme="majorBidi"/>
      <w:spacing w:val="5"/>
      <w:kern w:val="28"/>
      <w:sz w:val="28"/>
      <w:szCs w:val="52"/>
    </w:rPr>
  </w:style>
  <w:style w:type="paragraph" w:styleId="ad">
    <w:name w:val="header"/>
    <w:basedOn w:val="a"/>
    <w:link w:val="ae"/>
    <w:uiPriority w:val="99"/>
    <w:unhideWhenUsed/>
    <w:rsid w:val="006757BB"/>
    <w:pPr>
      <w:tabs>
        <w:tab w:val="center" w:pos="4677"/>
        <w:tab w:val="right" w:pos="9355"/>
      </w:tabs>
    </w:pPr>
  </w:style>
  <w:style w:type="character" w:customStyle="1" w:styleId="ae">
    <w:name w:val="Верхний колонтитул Знак"/>
    <w:basedOn w:val="a0"/>
    <w:link w:val="ad"/>
    <w:uiPriority w:val="99"/>
    <w:rsid w:val="006757BB"/>
    <w:rPr>
      <w:rFonts w:ascii="Times New Roman" w:hAnsi="Times New Roman"/>
      <w:sz w:val="28"/>
    </w:rPr>
  </w:style>
  <w:style w:type="paragraph" w:styleId="af">
    <w:name w:val="footer"/>
    <w:basedOn w:val="a"/>
    <w:link w:val="af0"/>
    <w:uiPriority w:val="99"/>
    <w:unhideWhenUsed/>
    <w:rsid w:val="006757BB"/>
    <w:pPr>
      <w:tabs>
        <w:tab w:val="center" w:pos="4677"/>
        <w:tab w:val="right" w:pos="9355"/>
      </w:tabs>
    </w:pPr>
  </w:style>
  <w:style w:type="character" w:customStyle="1" w:styleId="af0">
    <w:name w:val="Нижний колонтитул Знак"/>
    <w:basedOn w:val="a0"/>
    <w:link w:val="af"/>
    <w:uiPriority w:val="99"/>
    <w:rsid w:val="006757BB"/>
    <w:rPr>
      <w:rFonts w:ascii="Times New Roman" w:hAnsi="Times New Roman"/>
      <w:sz w:val="28"/>
    </w:rPr>
  </w:style>
  <w:style w:type="paragraph" w:styleId="af1">
    <w:name w:val="Normal (Web)"/>
    <w:basedOn w:val="a"/>
    <w:uiPriority w:val="99"/>
    <w:semiHidden/>
    <w:unhideWhenUsed/>
    <w:rsid w:val="00D3340B"/>
    <w:pPr>
      <w:spacing w:before="100" w:beforeAutospacing="1" w:after="100" w:afterAutospacing="1"/>
      <w:jc w:val="left"/>
    </w:pPr>
    <w:rPr>
      <w:rFonts w:eastAsia="Times New Roman" w:cs="Times New Roman"/>
      <w:sz w:val="24"/>
      <w:szCs w:val="24"/>
      <w:lang w:eastAsia="ru-RU"/>
    </w:rPr>
  </w:style>
  <w:style w:type="paragraph" w:customStyle="1" w:styleId="af2">
    <w:name w:val="Прижатый влево"/>
    <w:basedOn w:val="a"/>
    <w:next w:val="a"/>
    <w:uiPriority w:val="99"/>
    <w:rsid w:val="00D3340B"/>
    <w:pPr>
      <w:autoSpaceDE w:val="0"/>
      <w:autoSpaceDN w:val="0"/>
      <w:adjustRightInd w:val="0"/>
      <w:jc w:val="left"/>
    </w:pPr>
    <w:rPr>
      <w:rFonts w:ascii="Arial" w:eastAsia="Times New Roman" w:hAnsi="Arial" w:cs="Arial"/>
      <w:sz w:val="24"/>
      <w:szCs w:val="24"/>
      <w:lang w:eastAsia="ru-RU"/>
    </w:rPr>
  </w:style>
  <w:style w:type="character" w:customStyle="1" w:styleId="22">
    <w:name w:val="Заголовок 2 Знак"/>
    <w:basedOn w:val="a0"/>
    <w:link w:val="21"/>
    <w:rsid w:val="005A497D"/>
    <w:rPr>
      <w:rFonts w:ascii="Times New Roman" w:eastAsia="Times New Roman" w:hAnsi="Times New Roman" w:cs="Times New Roman"/>
      <w:b/>
      <w:bCs/>
      <w:sz w:val="36"/>
      <w:szCs w:val="36"/>
      <w:lang w:eastAsia="ru-RU"/>
    </w:rPr>
  </w:style>
  <w:style w:type="paragraph" w:customStyle="1" w:styleId="ConsPlusNormal">
    <w:name w:val="ConsPlusNormal"/>
    <w:rsid w:val="00005B7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Заголовок 1 Знак"/>
    <w:basedOn w:val="a0"/>
    <w:link w:val="11"/>
    <w:uiPriority w:val="9"/>
    <w:rsid w:val="007F3370"/>
    <w:rPr>
      <w:rFonts w:asciiTheme="majorHAnsi" w:eastAsiaTheme="majorEastAsia" w:hAnsiTheme="majorHAnsi" w:cstheme="majorBidi"/>
      <w:color w:val="365F91" w:themeColor="accent1" w:themeShade="BF"/>
      <w:sz w:val="32"/>
      <w:szCs w:val="32"/>
    </w:rPr>
  </w:style>
  <w:style w:type="table" w:styleId="af3">
    <w:name w:val="Table Grid"/>
    <w:basedOn w:val="a1"/>
    <w:rsid w:val="007F337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33826"/>
    <w:pPr>
      <w:suppressAutoHyphens/>
      <w:autoSpaceDN w:val="0"/>
      <w:textAlignment w:val="baseline"/>
    </w:pPr>
    <w:rPr>
      <w:rFonts w:ascii="Times New Roman" w:eastAsia="Calibri" w:hAnsi="Times New Roman" w:cs="Times New Roman"/>
      <w:kern w:val="3"/>
      <w:sz w:val="16"/>
      <w:szCs w:val="16"/>
      <w:lang w:eastAsia="ar-SA"/>
    </w:rPr>
  </w:style>
  <w:style w:type="character" w:styleId="af4">
    <w:name w:val="page number"/>
    <w:basedOn w:val="a0"/>
    <w:uiPriority w:val="17"/>
    <w:rsid w:val="00833826"/>
  </w:style>
  <w:style w:type="paragraph" w:customStyle="1" w:styleId="10">
    <w:name w:val="1 Ур"/>
    <w:basedOn w:val="a6"/>
    <w:rsid w:val="00833826"/>
    <w:pPr>
      <w:numPr>
        <w:numId w:val="10"/>
      </w:numPr>
      <w:spacing w:before="120"/>
      <w:ind w:left="0" w:hanging="425"/>
      <w:contextualSpacing w:val="0"/>
    </w:pPr>
    <w:rPr>
      <w:rFonts w:ascii="BigCity Grotesque Pro Book" w:eastAsia="Calibri" w:hAnsi="BigCity Grotesque Pro Book" w:cs="Times New Roman"/>
      <w:sz w:val="22"/>
    </w:rPr>
  </w:style>
  <w:style w:type="paragraph" w:customStyle="1" w:styleId="20">
    <w:name w:val="2 УР"/>
    <w:basedOn w:val="10"/>
    <w:uiPriority w:val="1"/>
    <w:qFormat/>
    <w:rsid w:val="00833826"/>
    <w:pPr>
      <w:numPr>
        <w:ilvl w:val="1"/>
      </w:numPr>
      <w:outlineLvl w:val="1"/>
    </w:pPr>
  </w:style>
  <w:style w:type="paragraph" w:customStyle="1" w:styleId="31">
    <w:name w:val="3 УР"/>
    <w:basedOn w:val="20"/>
    <w:next w:val="a"/>
    <w:link w:val="32"/>
    <w:uiPriority w:val="2"/>
    <w:qFormat/>
    <w:rsid w:val="00833826"/>
    <w:pPr>
      <w:numPr>
        <w:ilvl w:val="2"/>
      </w:numPr>
      <w:outlineLvl w:val="2"/>
    </w:pPr>
  </w:style>
  <w:style w:type="character" w:customStyle="1" w:styleId="32">
    <w:name w:val="3 УР Знак"/>
    <w:link w:val="31"/>
    <w:uiPriority w:val="2"/>
    <w:rsid w:val="00833826"/>
    <w:rPr>
      <w:rFonts w:ascii="BigCity Grotesque Pro Book" w:eastAsia="Calibri" w:hAnsi="BigCity Grotesque Pro Book" w:cs="Times New Roman"/>
    </w:rPr>
  </w:style>
  <w:style w:type="paragraph" w:customStyle="1" w:styleId="3">
    <w:name w:val="3 УР Прил"/>
    <w:basedOn w:val="2"/>
    <w:uiPriority w:val="2"/>
    <w:qFormat/>
    <w:rsid w:val="00833826"/>
    <w:pPr>
      <w:numPr>
        <w:ilvl w:val="2"/>
      </w:numPr>
      <w:tabs>
        <w:tab w:val="num" w:pos="360"/>
      </w:tabs>
      <w:ind w:left="4286" w:hanging="180"/>
    </w:pPr>
  </w:style>
  <w:style w:type="paragraph" w:customStyle="1" w:styleId="1">
    <w:name w:val="1 УР прил"/>
    <w:basedOn w:val="20"/>
    <w:qFormat/>
    <w:rsid w:val="00833826"/>
    <w:pPr>
      <w:numPr>
        <w:ilvl w:val="0"/>
        <w:numId w:val="11"/>
      </w:numPr>
      <w:ind w:left="426" w:hanging="426"/>
    </w:pPr>
  </w:style>
  <w:style w:type="paragraph" w:customStyle="1" w:styleId="2">
    <w:name w:val="2 Ур Прил"/>
    <w:basedOn w:val="1"/>
    <w:link w:val="23"/>
    <w:uiPriority w:val="1"/>
    <w:qFormat/>
    <w:rsid w:val="00833826"/>
    <w:pPr>
      <w:numPr>
        <w:ilvl w:val="1"/>
      </w:numPr>
      <w:outlineLvl w:val="2"/>
    </w:pPr>
  </w:style>
  <w:style w:type="character" w:customStyle="1" w:styleId="23">
    <w:name w:val="2 Ур Прил Знак"/>
    <w:link w:val="2"/>
    <w:uiPriority w:val="1"/>
    <w:rsid w:val="00833826"/>
    <w:rPr>
      <w:rFonts w:ascii="BigCity Grotesque Pro Book" w:eastAsia="Calibri" w:hAnsi="BigCity Grotesque Pro Book" w:cs="Times New Roman"/>
    </w:rPr>
  </w:style>
  <w:style w:type="paragraph" w:customStyle="1" w:styleId="30">
    <w:name w:val="3 УР НУм"/>
    <w:basedOn w:val="31"/>
    <w:link w:val="33"/>
    <w:uiPriority w:val="2"/>
    <w:qFormat/>
    <w:rsid w:val="00833826"/>
    <w:pPr>
      <w:numPr>
        <w:numId w:val="12"/>
      </w:numPr>
      <w:ind w:left="1701" w:hanging="425"/>
      <w:outlineLvl w:val="9"/>
    </w:pPr>
  </w:style>
  <w:style w:type="character" w:customStyle="1" w:styleId="33">
    <w:name w:val="3 УР НУм Знак"/>
    <w:link w:val="30"/>
    <w:uiPriority w:val="2"/>
    <w:rsid w:val="00833826"/>
    <w:rPr>
      <w:rFonts w:ascii="BigCity Grotesque Pro Book" w:eastAsia="Calibri" w:hAnsi="BigCity Grotesque Pro Book" w:cs="Times New Roman"/>
    </w:rPr>
  </w:style>
  <w:style w:type="numbering" w:customStyle="1" w:styleId="13">
    <w:name w:val="Нет списка1"/>
    <w:next w:val="a2"/>
    <w:uiPriority w:val="99"/>
    <w:semiHidden/>
    <w:unhideWhenUsed/>
    <w:rsid w:val="007C5F35"/>
  </w:style>
  <w:style w:type="character" w:customStyle="1" w:styleId="af5">
    <w:name w:val="Цветовое выделение"/>
    <w:uiPriority w:val="99"/>
    <w:rsid w:val="007C5F35"/>
    <w:rPr>
      <w:b/>
      <w:color w:val="26282F"/>
    </w:rPr>
  </w:style>
  <w:style w:type="character" w:customStyle="1" w:styleId="af6">
    <w:name w:val="Гипертекстовая ссылка"/>
    <w:uiPriority w:val="99"/>
    <w:rsid w:val="007C5F35"/>
    <w:rPr>
      <w:color w:val="106BBE"/>
    </w:rPr>
  </w:style>
  <w:style w:type="paragraph" w:customStyle="1" w:styleId="af7">
    <w:name w:val="Текст (справка)"/>
    <w:basedOn w:val="a"/>
    <w:next w:val="a"/>
    <w:uiPriority w:val="99"/>
    <w:rsid w:val="007C5F35"/>
    <w:pPr>
      <w:widowControl w:val="0"/>
      <w:autoSpaceDE w:val="0"/>
      <w:autoSpaceDN w:val="0"/>
      <w:adjustRightInd w:val="0"/>
      <w:ind w:left="170" w:right="170"/>
      <w:jc w:val="left"/>
    </w:pPr>
    <w:rPr>
      <w:rFonts w:ascii="Arial" w:eastAsia="Times New Roman" w:hAnsi="Arial" w:cs="Arial"/>
      <w:sz w:val="24"/>
      <w:szCs w:val="24"/>
      <w:lang w:eastAsia="ru-RU"/>
    </w:rPr>
  </w:style>
  <w:style w:type="paragraph" w:customStyle="1" w:styleId="af8">
    <w:name w:val="Комментарий"/>
    <w:basedOn w:val="af7"/>
    <w:next w:val="a"/>
    <w:uiPriority w:val="99"/>
    <w:rsid w:val="007C5F35"/>
    <w:pPr>
      <w:spacing w:before="75"/>
      <w:ind w:right="0"/>
      <w:jc w:val="both"/>
    </w:pPr>
    <w:rPr>
      <w:color w:val="353842"/>
      <w:shd w:val="clear" w:color="auto" w:fill="F0F0F0"/>
    </w:rPr>
  </w:style>
  <w:style w:type="character" w:customStyle="1" w:styleId="af9">
    <w:name w:val="Не вступил в силу"/>
    <w:uiPriority w:val="99"/>
    <w:rsid w:val="007C5F35"/>
    <w:rPr>
      <w:color w:val="000000"/>
      <w:shd w:val="clear" w:color="auto" w:fill="D8EDE8"/>
    </w:rPr>
  </w:style>
  <w:style w:type="paragraph" w:customStyle="1" w:styleId="afa">
    <w:name w:val="Нормальный (таблица)"/>
    <w:basedOn w:val="a"/>
    <w:next w:val="a"/>
    <w:uiPriority w:val="99"/>
    <w:rsid w:val="007C5F35"/>
    <w:pPr>
      <w:widowControl w:val="0"/>
      <w:autoSpaceDE w:val="0"/>
      <w:autoSpaceDN w:val="0"/>
      <w:adjustRightInd w:val="0"/>
    </w:pPr>
    <w:rPr>
      <w:rFonts w:ascii="Arial" w:eastAsia="Times New Roman" w:hAnsi="Arial" w:cs="Arial"/>
      <w:sz w:val="24"/>
      <w:szCs w:val="24"/>
      <w:lang w:eastAsia="ru-RU"/>
    </w:rPr>
  </w:style>
  <w:style w:type="character" w:customStyle="1" w:styleId="afb">
    <w:name w:val="Цветовое выделение для Текст"/>
    <w:uiPriority w:val="99"/>
    <w:rsid w:val="007C5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980876">
      <w:bodyDiv w:val="1"/>
      <w:marLeft w:val="0"/>
      <w:marRight w:val="0"/>
      <w:marTop w:val="0"/>
      <w:marBottom w:val="0"/>
      <w:divBdr>
        <w:top w:val="none" w:sz="0" w:space="0" w:color="auto"/>
        <w:left w:val="none" w:sz="0" w:space="0" w:color="auto"/>
        <w:bottom w:val="none" w:sz="0" w:space="0" w:color="auto"/>
        <w:right w:val="none" w:sz="0" w:space="0" w:color="auto"/>
      </w:divBdr>
    </w:div>
    <w:div w:id="748304890">
      <w:bodyDiv w:val="1"/>
      <w:marLeft w:val="0"/>
      <w:marRight w:val="0"/>
      <w:marTop w:val="0"/>
      <w:marBottom w:val="0"/>
      <w:divBdr>
        <w:top w:val="none" w:sz="0" w:space="0" w:color="auto"/>
        <w:left w:val="none" w:sz="0" w:space="0" w:color="auto"/>
        <w:bottom w:val="none" w:sz="0" w:space="0" w:color="auto"/>
        <w:right w:val="none" w:sz="0" w:space="0" w:color="auto"/>
      </w:divBdr>
    </w:div>
    <w:div w:id="1817919523">
      <w:bodyDiv w:val="1"/>
      <w:marLeft w:val="0"/>
      <w:marRight w:val="0"/>
      <w:marTop w:val="0"/>
      <w:marBottom w:val="0"/>
      <w:divBdr>
        <w:top w:val="none" w:sz="0" w:space="0" w:color="auto"/>
        <w:left w:val="none" w:sz="0" w:space="0" w:color="auto"/>
        <w:bottom w:val="none" w:sz="0" w:space="0" w:color="auto"/>
        <w:right w:val="none" w:sz="0" w:space="0" w:color="auto"/>
      </w:divBdr>
    </w:div>
    <w:div w:id="1910381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garantF1://12038258.0" TargetMode="External"/><Relationship Id="rId18" Type="http://schemas.openxmlformats.org/officeDocument/2006/relationships/hyperlink" Target="garantF1://18818909.0" TargetMode="External"/><Relationship Id="rId26" Type="http://schemas.openxmlformats.org/officeDocument/2006/relationships/hyperlink" Target="garantF1://18829435.0" TargetMode="External"/><Relationship Id="rId39" Type="http://schemas.openxmlformats.org/officeDocument/2006/relationships/header" Target="header1.xml"/><Relationship Id="rId21" Type="http://schemas.openxmlformats.org/officeDocument/2006/relationships/hyperlink" Target="garantF1://18822401.0" TargetMode="External"/><Relationship Id="rId34" Type="http://schemas.openxmlformats.org/officeDocument/2006/relationships/hyperlink" Target="garantF1://45119996.0" TargetMode="External"/><Relationship Id="rId42" Type="http://schemas.openxmlformats.org/officeDocument/2006/relationships/glossaryDocument" Target="glossary/document.xml"/><Relationship Id="rId7" Type="http://schemas.openxmlformats.org/officeDocument/2006/relationships/image" Target="media/image1.gif"/><Relationship Id="rId2" Type="http://schemas.openxmlformats.org/officeDocument/2006/relationships/styles" Target="styles.xml"/><Relationship Id="rId16" Type="http://schemas.openxmlformats.org/officeDocument/2006/relationships/hyperlink" Target="garantF1://12047594.0" TargetMode="External"/><Relationship Id="rId20" Type="http://schemas.openxmlformats.org/officeDocument/2006/relationships/hyperlink" Target="garantF1://18821434.0" TargetMode="External"/><Relationship Id="rId29" Type="http://schemas.openxmlformats.org/officeDocument/2006/relationships/hyperlink" Target="garantF1://18833986.0"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12012604.0" TargetMode="External"/><Relationship Id="rId24" Type="http://schemas.openxmlformats.org/officeDocument/2006/relationships/hyperlink" Target="garantF1://18826768.0" TargetMode="External"/><Relationship Id="rId32" Type="http://schemas.openxmlformats.org/officeDocument/2006/relationships/hyperlink" Target="garantF1://18843511.0" TargetMode="External"/><Relationship Id="rId37" Type="http://schemas.openxmlformats.org/officeDocument/2006/relationships/hyperlink" Target="garantF1://12012604.0" TargetMode="External"/><Relationship Id="rId40"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hyperlink" Target="garantF1://12045525.0" TargetMode="External"/><Relationship Id="rId23" Type="http://schemas.openxmlformats.org/officeDocument/2006/relationships/hyperlink" Target="garantF1://18826229.0" TargetMode="External"/><Relationship Id="rId28" Type="http://schemas.openxmlformats.org/officeDocument/2006/relationships/hyperlink" Target="garantF1://18830617.0" TargetMode="External"/><Relationship Id="rId36" Type="http://schemas.openxmlformats.org/officeDocument/2006/relationships/hyperlink" Target="garantF1://73582057.0" TargetMode="External"/><Relationship Id="rId10" Type="http://schemas.openxmlformats.org/officeDocument/2006/relationships/footer" Target="footer3.xml"/><Relationship Id="rId19" Type="http://schemas.openxmlformats.org/officeDocument/2006/relationships/hyperlink" Target="garantF1://18819316.0" TargetMode="External"/><Relationship Id="rId31" Type="http://schemas.openxmlformats.org/officeDocument/2006/relationships/hyperlink" Target="garantF1://18813766.0" TargetMode="Externa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garantF1://12024624.0" TargetMode="External"/><Relationship Id="rId22" Type="http://schemas.openxmlformats.org/officeDocument/2006/relationships/hyperlink" Target="garantF1://18825088.0" TargetMode="External"/><Relationship Id="rId27" Type="http://schemas.openxmlformats.org/officeDocument/2006/relationships/hyperlink" Target="garantF1://18829805.0" TargetMode="External"/><Relationship Id="rId30" Type="http://schemas.openxmlformats.org/officeDocument/2006/relationships/hyperlink" Target="garantF1://18813357.0" TargetMode="External"/><Relationship Id="rId35" Type="http://schemas.openxmlformats.org/officeDocument/2006/relationships/hyperlink" Target="garantF1://73096630.0" TargetMode="External"/><Relationship Id="rId43" Type="http://schemas.openxmlformats.org/officeDocument/2006/relationships/theme" Target="theme/theme1.xml"/><Relationship Id="rId8"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garantF1://12038291.0" TargetMode="External"/><Relationship Id="rId17" Type="http://schemas.openxmlformats.org/officeDocument/2006/relationships/hyperlink" Target="garantF1://12036631.0" TargetMode="External"/><Relationship Id="rId25" Type="http://schemas.openxmlformats.org/officeDocument/2006/relationships/hyperlink" Target="garantF1://18827096.0" TargetMode="External"/><Relationship Id="rId33" Type="http://schemas.openxmlformats.org/officeDocument/2006/relationships/hyperlink" Target="garantF1://45116956.0" TargetMode="External"/><Relationship Id="rId38" Type="http://schemas.openxmlformats.org/officeDocument/2006/relationships/hyperlink" Target="garantF1://1202462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achova_yus\Desktop\&#1054;&#1073;%20&#1054;&#1058;&#1057;&#1058;&#1040;&#1042;&#1050;&#1045;%20&#1043;&#1051;&#1040;&#1042;&#1067;\&#1086;&#1073;%20&#1080;&#1079;&#1073;&#1088;&#1072;&#1085;&#1080;&#1080;%20&#1085;&#1086;&#1074;&#1086;&#1075;&#1086;\&#1086;&#1090;%2027.02.2021%20&#8470;%20701-VI%20&#1044;&#1043;.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DDE5C2D3054A4CB1000667415B810D"/>
        <w:category>
          <w:name w:val="Общие"/>
          <w:gallery w:val="placeholder"/>
        </w:category>
        <w:types>
          <w:type w:val="bbPlcHdr"/>
        </w:types>
        <w:behaviors>
          <w:behavior w:val="content"/>
        </w:behaviors>
        <w:guid w:val="{AD399B44-59E4-4B9E-A5A2-CA89708AF736}"/>
      </w:docPartPr>
      <w:docPartBody>
        <w:p w:rsidR="00EE1EB9" w:rsidRDefault="00EB36BD">
          <w:pPr>
            <w:pStyle w:val="ABDDE5C2D3054A4CB1000667415B810D"/>
          </w:pPr>
          <w:r w:rsidRPr="007B0BFF">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igCity Grotesque Pro Book">
    <w:altName w:val="Cambria Math"/>
    <w:panose1 w:val="00000000000000000000"/>
    <w:charset w:val="00"/>
    <w:family w:val="roman"/>
    <w:notTrueType/>
    <w:pitch w:val="variable"/>
    <w:sig w:usb0="80000207" w:usb1="00000002" w:usb2="00000000" w:usb3="00000000" w:csb0="00000197"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6BD"/>
    <w:rsid w:val="00001A00"/>
    <w:rsid w:val="00031B50"/>
    <w:rsid w:val="0008024D"/>
    <w:rsid w:val="000924FF"/>
    <w:rsid w:val="000E2A5C"/>
    <w:rsid w:val="000F4D68"/>
    <w:rsid w:val="001044E6"/>
    <w:rsid w:val="001F478C"/>
    <w:rsid w:val="002075B5"/>
    <w:rsid w:val="00243D0A"/>
    <w:rsid w:val="002760E2"/>
    <w:rsid w:val="002B4F35"/>
    <w:rsid w:val="002E701F"/>
    <w:rsid w:val="00312B80"/>
    <w:rsid w:val="00316132"/>
    <w:rsid w:val="00364240"/>
    <w:rsid w:val="003763A2"/>
    <w:rsid w:val="003C692E"/>
    <w:rsid w:val="00404C96"/>
    <w:rsid w:val="004A4E4E"/>
    <w:rsid w:val="005209DF"/>
    <w:rsid w:val="0056137A"/>
    <w:rsid w:val="00564EC9"/>
    <w:rsid w:val="005D7FB3"/>
    <w:rsid w:val="00625427"/>
    <w:rsid w:val="00627304"/>
    <w:rsid w:val="006A0BB1"/>
    <w:rsid w:val="0070167A"/>
    <w:rsid w:val="00715D75"/>
    <w:rsid w:val="00737F4A"/>
    <w:rsid w:val="007920C7"/>
    <w:rsid w:val="007A62D4"/>
    <w:rsid w:val="00814CD7"/>
    <w:rsid w:val="00821471"/>
    <w:rsid w:val="00857F42"/>
    <w:rsid w:val="00861350"/>
    <w:rsid w:val="00895DB5"/>
    <w:rsid w:val="008A165B"/>
    <w:rsid w:val="008E652B"/>
    <w:rsid w:val="008F5FE1"/>
    <w:rsid w:val="00972C1E"/>
    <w:rsid w:val="009D5C74"/>
    <w:rsid w:val="009E5EA7"/>
    <w:rsid w:val="00A10C17"/>
    <w:rsid w:val="00A34D89"/>
    <w:rsid w:val="00A9270E"/>
    <w:rsid w:val="00AE610D"/>
    <w:rsid w:val="00B05F63"/>
    <w:rsid w:val="00B13BE7"/>
    <w:rsid w:val="00B41851"/>
    <w:rsid w:val="00C201AE"/>
    <w:rsid w:val="00C474B1"/>
    <w:rsid w:val="00CC644E"/>
    <w:rsid w:val="00D1490D"/>
    <w:rsid w:val="00DB0151"/>
    <w:rsid w:val="00E72E2A"/>
    <w:rsid w:val="00E73F9B"/>
    <w:rsid w:val="00E8302A"/>
    <w:rsid w:val="00EA2F21"/>
    <w:rsid w:val="00EB36BD"/>
    <w:rsid w:val="00ED08DF"/>
    <w:rsid w:val="00EE1EB9"/>
    <w:rsid w:val="00F52B4C"/>
    <w:rsid w:val="00F545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Pr>
      <w:color w:val="808080"/>
    </w:rPr>
  </w:style>
  <w:style w:type="paragraph" w:customStyle="1" w:styleId="ABDDE5C2D3054A4CB1000667415B810D">
    <w:name w:val="ABDDE5C2D3054A4CB1000667415B810D"/>
  </w:style>
  <w:style w:type="paragraph" w:customStyle="1" w:styleId="F7ACDB80A43544A3B4FDD41AC1F3A49E">
    <w:name w:val="F7ACDB80A43544A3B4FDD41AC1F3A49E"/>
  </w:style>
  <w:style w:type="paragraph" w:customStyle="1" w:styleId="DB9D94D191254188AEEEE84DF69BFFB8">
    <w:name w:val="DB9D94D191254188AEEEE84DF69BFF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от 27.02.2021 № 701-VI ДГ.dotx</Template>
  <TotalTime>807</TotalTime>
  <Pages>36</Pages>
  <Words>11021</Words>
  <Characters>62823</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Дума города Сургута</Company>
  <LinksUpToDate>false</LinksUpToDate>
  <CharactersWithSpaces>73697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Ткачова Юлия Сергеевна</dc:creator>
  <cp:keywords/>
  <dc:description/>
  <cp:lastModifiedBy>Таран Людмила Равильевна</cp:lastModifiedBy>
  <cp:revision>128</cp:revision>
  <cp:lastPrinted>2022-04-01T06:18:00Z</cp:lastPrinted>
  <dcterms:created xsi:type="dcterms:W3CDTF">2021-02-25T07:49:00Z</dcterms:created>
  <dcterms:modified xsi:type="dcterms:W3CDTF">2022-04-06T10:20:00Z</dcterms:modified>
</cp:coreProperties>
</file>