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E296DCDB97E44D65843D5713F56B952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5675A7" w:rsidRPr="00EA3A62" w:rsidRDefault="005675A7" w:rsidP="005675A7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Принято на заседании Думы 26 марта 2020</w:t>
      </w:r>
      <w:r w:rsidRPr="00EA3A62">
        <w:rPr>
          <w:rFonts w:eastAsia="Calibri"/>
          <w:szCs w:val="28"/>
        </w:rPr>
        <w:t xml:space="preserve"> года</w:t>
      </w:r>
    </w:p>
    <w:p w:rsidR="005675A7" w:rsidRPr="006B1577" w:rsidRDefault="005675A7" w:rsidP="005675A7">
      <w:pPr>
        <w:tabs>
          <w:tab w:val="left" w:pos="709"/>
          <w:tab w:val="left" w:pos="4111"/>
          <w:tab w:val="left" w:pos="4253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6B1577">
        <w:rPr>
          <w:rFonts w:eastAsia="Calibri"/>
          <w:szCs w:val="28"/>
          <w:u w:val="single"/>
        </w:rPr>
        <w:t>573-</w:t>
      </w:r>
      <w:r w:rsidR="006B1577">
        <w:rPr>
          <w:rFonts w:eastAsia="Calibri"/>
          <w:szCs w:val="28"/>
          <w:u w:val="single"/>
          <w:lang w:val="en-US"/>
        </w:rPr>
        <w:t>VI</w:t>
      </w:r>
      <w:r w:rsidR="006B1577" w:rsidRPr="00B626D1">
        <w:rPr>
          <w:rFonts w:eastAsia="Calibri"/>
          <w:szCs w:val="28"/>
          <w:u w:val="single"/>
        </w:rPr>
        <w:t xml:space="preserve"> </w:t>
      </w:r>
      <w:r w:rsidR="006B1577">
        <w:rPr>
          <w:rFonts w:eastAsia="Calibri"/>
          <w:szCs w:val="28"/>
          <w:u w:val="single"/>
        </w:rPr>
        <w:t>ДГ</w:t>
      </w:r>
    </w:p>
    <w:p w:rsidR="005675A7" w:rsidRDefault="005675A7" w:rsidP="00F35FCF">
      <w:pPr>
        <w:tabs>
          <w:tab w:val="right" w:pos="9638"/>
        </w:tabs>
        <w:jc w:val="center"/>
        <w:rPr>
          <w:rFonts w:cs="Times New Roman"/>
          <w:spacing w:val="14"/>
          <w:szCs w:val="28"/>
        </w:rPr>
      </w:pPr>
    </w:p>
    <w:p w:rsidR="00FA10F4" w:rsidRPr="00FA10F4" w:rsidRDefault="00FA10F4" w:rsidP="00FA10F4">
      <w:pPr>
        <w:pStyle w:val="af6"/>
        <w:tabs>
          <w:tab w:val="left" w:pos="4253"/>
        </w:tabs>
        <w:ind w:right="5101"/>
        <w:jc w:val="both"/>
        <w:rPr>
          <w:rFonts w:ascii="Times New Roman" w:hAnsi="Times New Roman"/>
          <w:sz w:val="28"/>
          <w:szCs w:val="28"/>
        </w:rPr>
      </w:pPr>
      <w:r w:rsidRPr="00FA10F4">
        <w:rPr>
          <w:rFonts w:ascii="Times New Roman" w:hAnsi="Times New Roman"/>
          <w:sz w:val="28"/>
          <w:szCs w:val="28"/>
        </w:rPr>
        <w:t xml:space="preserve">О внесении изменений в решение городской Думы от 28.06.2005 </w:t>
      </w:r>
      <w:r w:rsidRPr="00FA10F4">
        <w:rPr>
          <w:rFonts w:ascii="Times New Roman" w:hAnsi="Times New Roman"/>
          <w:sz w:val="28"/>
          <w:szCs w:val="28"/>
        </w:rPr>
        <w:br/>
        <w:t>№ 475-</w:t>
      </w:r>
      <w:r w:rsidRPr="00FA10F4">
        <w:rPr>
          <w:rFonts w:ascii="Times New Roman" w:hAnsi="Times New Roman"/>
          <w:sz w:val="28"/>
          <w:szCs w:val="28"/>
          <w:lang w:val="en-US"/>
        </w:rPr>
        <w:t>III</w:t>
      </w:r>
      <w:r w:rsidRPr="00FA10F4">
        <w:rPr>
          <w:rFonts w:ascii="Times New Roman" w:hAnsi="Times New Roman"/>
          <w:sz w:val="28"/>
          <w:szCs w:val="28"/>
        </w:rPr>
        <w:t xml:space="preserve"> ГД «Об утверждении Правил землепользования и застройки на территории города Сургута»</w:t>
      </w:r>
    </w:p>
    <w:p w:rsidR="005675A7" w:rsidRDefault="005675A7" w:rsidP="007A6477">
      <w:pPr>
        <w:pStyle w:val="a9"/>
      </w:pPr>
    </w:p>
    <w:p w:rsidR="00FA10F4" w:rsidRPr="00FA10F4" w:rsidRDefault="00FA10F4" w:rsidP="00FA10F4">
      <w:pPr>
        <w:ind w:firstLine="709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В соответствии со статьями 31, 33 Градостроительного кодекса Российской Федерации, Уставом муниципального образования городской округ город Сургут Ханты-Мансийского автономного округа – Югры, учитывая рекомендации комиссии по градостроительному зонированию (протокол от 13.02.2020 № 197), Дума города РЕШИЛА:</w:t>
      </w:r>
    </w:p>
    <w:p w:rsidR="00FA10F4" w:rsidRPr="00FA10F4" w:rsidRDefault="00FA10F4" w:rsidP="00FA10F4">
      <w:pPr>
        <w:ind w:firstLine="70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9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Внести в решение городской Думы от 28.06.2005 № 475-</w:t>
      </w:r>
      <w:r w:rsidRPr="00FA10F4">
        <w:rPr>
          <w:rFonts w:eastAsia="Times New Roman" w:cs="Times New Roman"/>
          <w:szCs w:val="28"/>
          <w:lang w:val="en-US" w:eastAsia="ru-RU"/>
        </w:rPr>
        <w:t>III</w:t>
      </w:r>
      <w:r w:rsidRPr="00FA10F4">
        <w:rPr>
          <w:rFonts w:eastAsia="Times New Roman" w:cs="Times New Roman"/>
          <w:szCs w:val="28"/>
          <w:lang w:eastAsia="ru-RU"/>
        </w:rPr>
        <w:t xml:space="preserve"> ГД </w:t>
      </w:r>
      <w:r w:rsidRPr="00FA10F4">
        <w:rPr>
          <w:rFonts w:eastAsia="Times New Roman" w:cs="Times New Roman"/>
          <w:szCs w:val="28"/>
          <w:lang w:eastAsia="ru-RU"/>
        </w:rPr>
        <w:br/>
        <w:t>«Об утверждении Правил землепользования и застройки на территории города Сургута» (в редакции от 27.02.2020 № 560-</w:t>
      </w:r>
      <w:r w:rsidRPr="00FA10F4">
        <w:rPr>
          <w:rFonts w:eastAsia="Times New Roman" w:cs="Times New Roman"/>
          <w:szCs w:val="28"/>
          <w:lang w:val="en-US" w:eastAsia="ru-RU"/>
        </w:rPr>
        <w:t>VI</w:t>
      </w:r>
      <w:r w:rsidRPr="00FA10F4">
        <w:rPr>
          <w:rFonts w:eastAsia="Times New Roman" w:cs="Times New Roman"/>
          <w:szCs w:val="28"/>
          <w:lang w:eastAsia="ru-RU"/>
        </w:rPr>
        <w:t xml:space="preserve"> ДГ) изменения, изложив </w:t>
      </w:r>
      <w:r w:rsidR="00FB758C">
        <w:rPr>
          <w:rFonts w:eastAsia="Times New Roman" w:cs="Times New Roman"/>
          <w:szCs w:val="28"/>
          <w:lang w:eastAsia="ru-RU"/>
        </w:rPr>
        <w:br/>
      </w:r>
      <w:r w:rsidRPr="00FA10F4">
        <w:rPr>
          <w:rFonts w:eastAsia="Times New Roman" w:cs="Times New Roman"/>
          <w:szCs w:val="28"/>
          <w:lang w:eastAsia="ru-RU"/>
        </w:rPr>
        <w:t xml:space="preserve">раздел II «Градостроительные регламенты» приложения к решению </w:t>
      </w:r>
      <w:r w:rsidRPr="00FA10F4">
        <w:rPr>
          <w:rFonts w:eastAsia="Times New Roman" w:cs="Times New Roman"/>
          <w:szCs w:val="28"/>
          <w:lang w:eastAsia="ru-RU"/>
        </w:rPr>
        <w:br/>
        <w:t>в редакции согласно приложению к настоящему решению.</w:t>
      </w:r>
    </w:p>
    <w:p w:rsidR="00FA10F4" w:rsidRPr="00FA10F4" w:rsidRDefault="00FA10F4" w:rsidP="00FA10F4">
      <w:pPr>
        <w:tabs>
          <w:tab w:val="left" w:pos="3788"/>
          <w:tab w:val="left" w:pos="4253"/>
        </w:tabs>
        <w:rPr>
          <w:rFonts w:eastAsia="Times New Roman" w:cs="Times New Roman"/>
          <w:szCs w:val="28"/>
          <w:lang w:eastAsia="ru-RU"/>
        </w:rPr>
      </w:pPr>
    </w:p>
    <w:p w:rsidR="00E30C6D" w:rsidRDefault="00E30C6D" w:rsidP="00E30C6D">
      <w:pPr>
        <w:tabs>
          <w:tab w:val="left" w:pos="3788"/>
          <w:tab w:val="left" w:pos="4253"/>
        </w:tabs>
        <w:rPr>
          <w:szCs w:val="28"/>
        </w:rPr>
      </w:pPr>
    </w:p>
    <w:p w:rsidR="00E30C6D" w:rsidRDefault="00E30C6D" w:rsidP="00E30C6D">
      <w:pPr>
        <w:tabs>
          <w:tab w:val="left" w:pos="3788"/>
          <w:tab w:val="left" w:pos="4253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4"/>
      </w:tblGrid>
      <w:tr w:rsidR="00E30C6D" w:rsidTr="00530DDE">
        <w:trPr>
          <w:trHeight w:val="1697"/>
        </w:trPr>
        <w:tc>
          <w:tcPr>
            <w:tcW w:w="4790" w:type="dxa"/>
          </w:tcPr>
          <w:p w:rsidR="00E30C6D" w:rsidRDefault="00E30C6D" w:rsidP="0013046A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</w:t>
            </w:r>
          </w:p>
          <w:p w:rsidR="00E30C6D" w:rsidRPr="00192114" w:rsidRDefault="00E30C6D" w:rsidP="0013046A">
            <w:pPr>
              <w:tabs>
                <w:tab w:val="left" w:pos="717"/>
              </w:tabs>
              <w:rPr>
                <w:szCs w:val="28"/>
              </w:rPr>
            </w:pPr>
          </w:p>
          <w:p w:rsidR="00E30C6D" w:rsidRDefault="00E30C6D" w:rsidP="0013046A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_______________ Н.А. Красноярова</w:t>
            </w:r>
          </w:p>
          <w:p w:rsidR="00E30C6D" w:rsidRPr="002767F2" w:rsidRDefault="00E30C6D" w:rsidP="0013046A">
            <w:pPr>
              <w:ind w:left="-250" w:firstLine="250"/>
              <w:rPr>
                <w:szCs w:val="28"/>
              </w:rPr>
            </w:pPr>
          </w:p>
          <w:p w:rsidR="00E30C6D" w:rsidRDefault="006B1577" w:rsidP="0013046A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u w:val="single"/>
              </w:rPr>
              <w:t>26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марта</w:t>
            </w:r>
            <w:r w:rsidR="00E30C6D">
              <w:rPr>
                <w:szCs w:val="28"/>
              </w:rPr>
              <w:t xml:space="preserve"> 2020 г.</w:t>
            </w:r>
          </w:p>
        </w:tc>
        <w:tc>
          <w:tcPr>
            <w:tcW w:w="4564" w:type="dxa"/>
          </w:tcPr>
          <w:p w:rsidR="00E30C6D" w:rsidRDefault="00E30C6D" w:rsidP="0013046A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Глава города</w:t>
            </w:r>
          </w:p>
          <w:p w:rsidR="00E30C6D" w:rsidRPr="00192114" w:rsidRDefault="00E30C6D" w:rsidP="0013046A">
            <w:pPr>
              <w:ind w:left="459" w:right="-251" w:firstLine="76"/>
              <w:rPr>
                <w:szCs w:val="28"/>
              </w:rPr>
            </w:pPr>
          </w:p>
          <w:p w:rsidR="00E30C6D" w:rsidRDefault="00E30C6D" w:rsidP="0013046A">
            <w:pPr>
              <w:tabs>
                <w:tab w:val="left" w:pos="520"/>
              </w:tabs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_______________ В.Н. Шувалов</w:t>
            </w:r>
          </w:p>
          <w:p w:rsidR="00E30C6D" w:rsidRPr="002767F2" w:rsidRDefault="00E30C6D" w:rsidP="0013046A">
            <w:pPr>
              <w:ind w:left="459" w:right="-251" w:firstLine="76"/>
              <w:rPr>
                <w:szCs w:val="28"/>
              </w:rPr>
            </w:pPr>
          </w:p>
          <w:p w:rsidR="00E30C6D" w:rsidRDefault="00762B3C" w:rsidP="0013046A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r>
              <w:rPr>
                <w:szCs w:val="28"/>
                <w:u w:val="single"/>
              </w:rPr>
              <w:t>27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марта</w:t>
            </w:r>
            <w:r w:rsidR="00E30C6D">
              <w:rPr>
                <w:szCs w:val="28"/>
              </w:rPr>
              <w:t xml:space="preserve"> 2020 г.</w:t>
            </w:r>
          </w:p>
        </w:tc>
      </w:tr>
    </w:tbl>
    <w:p w:rsidR="00E30C6D" w:rsidRDefault="00E30C6D" w:rsidP="00E30C6D">
      <w:pPr>
        <w:rPr>
          <w:szCs w:val="28"/>
        </w:rPr>
      </w:pPr>
    </w:p>
    <w:p w:rsidR="00E30C6D" w:rsidRDefault="00E30C6D" w:rsidP="00E30C6D">
      <w:pPr>
        <w:rPr>
          <w:szCs w:val="28"/>
        </w:rPr>
      </w:pPr>
    </w:p>
    <w:p w:rsidR="00E30C6D" w:rsidRDefault="00E30C6D" w:rsidP="00E30C6D">
      <w:pPr>
        <w:rPr>
          <w:szCs w:val="28"/>
        </w:rPr>
      </w:pPr>
    </w:p>
    <w:p w:rsidR="00E30C6D" w:rsidRDefault="00E30C6D" w:rsidP="00E30C6D">
      <w:pPr>
        <w:rPr>
          <w:szCs w:val="28"/>
        </w:rPr>
      </w:pPr>
    </w:p>
    <w:p w:rsidR="00E30C6D" w:rsidRDefault="00E30C6D" w:rsidP="0013046A">
      <w:pPr>
        <w:tabs>
          <w:tab w:val="right" w:pos="9638"/>
        </w:tabs>
        <w:rPr>
          <w:szCs w:val="28"/>
        </w:rPr>
      </w:pPr>
    </w:p>
    <w:p w:rsidR="00B02344" w:rsidRDefault="00B02344" w:rsidP="0013046A">
      <w:pPr>
        <w:tabs>
          <w:tab w:val="right" w:pos="9638"/>
        </w:tabs>
        <w:rPr>
          <w:rFonts w:cs="Times New Roman"/>
          <w:spacing w:val="14"/>
          <w:szCs w:val="28"/>
        </w:rPr>
      </w:pPr>
    </w:p>
    <w:p w:rsidR="00E30C6D" w:rsidRPr="004C49F6" w:rsidRDefault="00E30C6D" w:rsidP="00E30C6D">
      <w:pPr>
        <w:ind w:left="5954"/>
        <w:rPr>
          <w:szCs w:val="28"/>
        </w:rPr>
      </w:pPr>
      <w:r w:rsidRPr="004C49F6">
        <w:rPr>
          <w:bCs/>
          <w:szCs w:val="28"/>
        </w:rPr>
        <w:lastRenderedPageBreak/>
        <w:t>Приложение</w:t>
      </w:r>
    </w:p>
    <w:p w:rsidR="00E30C6D" w:rsidRDefault="00E30C6D" w:rsidP="00E30C6D">
      <w:pPr>
        <w:ind w:left="5954"/>
        <w:rPr>
          <w:bCs/>
          <w:szCs w:val="28"/>
        </w:rPr>
      </w:pPr>
      <w:r>
        <w:rPr>
          <w:bCs/>
          <w:szCs w:val="28"/>
        </w:rPr>
        <w:t xml:space="preserve">к решению Думы города </w:t>
      </w:r>
    </w:p>
    <w:p w:rsidR="00E30C6D" w:rsidRPr="00B626D1" w:rsidRDefault="00E30C6D" w:rsidP="00E30C6D">
      <w:pPr>
        <w:ind w:left="5954"/>
        <w:rPr>
          <w:szCs w:val="28"/>
          <w:u w:val="single"/>
        </w:rPr>
      </w:pPr>
      <w:r w:rsidRPr="004C49F6">
        <w:rPr>
          <w:bCs/>
          <w:szCs w:val="28"/>
        </w:rPr>
        <w:t xml:space="preserve">от </w:t>
      </w:r>
      <w:r w:rsidR="00762B3C">
        <w:rPr>
          <w:bCs/>
          <w:szCs w:val="28"/>
          <w:u w:val="single"/>
        </w:rPr>
        <w:t>27.03.2020</w:t>
      </w:r>
      <w:r>
        <w:rPr>
          <w:bCs/>
          <w:szCs w:val="28"/>
        </w:rPr>
        <w:t xml:space="preserve"> </w:t>
      </w:r>
      <w:r w:rsidRPr="004C49F6">
        <w:rPr>
          <w:bCs/>
          <w:szCs w:val="28"/>
        </w:rPr>
        <w:t>№</w:t>
      </w:r>
      <w:r w:rsidR="00B626D1">
        <w:rPr>
          <w:bCs/>
          <w:szCs w:val="28"/>
        </w:rPr>
        <w:t xml:space="preserve"> </w:t>
      </w:r>
      <w:r w:rsidR="00B626D1">
        <w:rPr>
          <w:bCs/>
          <w:szCs w:val="28"/>
          <w:u w:val="single"/>
        </w:rPr>
        <w:t>573-</w:t>
      </w:r>
      <w:r w:rsidR="00B626D1">
        <w:rPr>
          <w:bCs/>
          <w:szCs w:val="28"/>
          <w:u w:val="single"/>
          <w:lang w:val="en-US"/>
        </w:rPr>
        <w:t>VI</w:t>
      </w:r>
      <w:r w:rsidR="00B626D1" w:rsidRPr="00762B3C">
        <w:rPr>
          <w:bCs/>
          <w:szCs w:val="28"/>
          <w:u w:val="single"/>
        </w:rPr>
        <w:t xml:space="preserve"> </w:t>
      </w:r>
      <w:r w:rsidR="00B626D1">
        <w:rPr>
          <w:bCs/>
          <w:szCs w:val="28"/>
          <w:u w:val="single"/>
        </w:rPr>
        <w:t>ДГ</w:t>
      </w:r>
    </w:p>
    <w:p w:rsidR="00E30C6D" w:rsidRPr="004C49F6" w:rsidRDefault="00E30C6D" w:rsidP="00E30C6D">
      <w:pPr>
        <w:rPr>
          <w:szCs w:val="28"/>
        </w:rPr>
      </w:pP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Раздел </w:t>
      </w:r>
      <w:r w:rsidRPr="00FA10F4">
        <w:rPr>
          <w:rFonts w:eastAsia="Times New Roman" w:cs="Times New Roman"/>
          <w:szCs w:val="28"/>
          <w:lang w:val="en-US" w:eastAsia="ru-RU"/>
        </w:rPr>
        <w:t>II</w:t>
      </w:r>
      <w:r w:rsidRPr="00FA10F4">
        <w:rPr>
          <w:rFonts w:eastAsia="Times New Roman" w:cs="Times New Roman"/>
          <w:szCs w:val="28"/>
          <w:lang w:eastAsia="ru-RU"/>
        </w:rPr>
        <w:t xml:space="preserve">. </w:t>
      </w:r>
      <w:bookmarkStart w:id="0" w:name="_GoBack"/>
      <w:bookmarkEnd w:id="0"/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b/>
          <w:szCs w:val="28"/>
          <w:lang w:eastAsia="ru-RU"/>
        </w:rPr>
        <w:t>ГРАДОСТРОИТЕЛЬНЫЕ РЕГЛАМЕНТЫ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22.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застройки индивидуальными жилыми домами Ж.1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49"/>
        <w:gridCol w:w="4847"/>
        <w:gridCol w:w="2268"/>
      </w:tblGrid>
      <w:tr w:rsidR="00FA10F4" w:rsidRPr="00FA10F4" w:rsidTr="0013046A">
        <w:trPr>
          <w:trHeight w:val="552"/>
        </w:trPr>
        <w:tc>
          <w:tcPr>
            <w:tcW w:w="234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47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349" w:type="dxa"/>
          </w:tcPr>
          <w:p w:rsidR="00FA10F4" w:rsidRPr="00FA10F4" w:rsidRDefault="00FA10F4" w:rsidP="00FA10F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4847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Минимальный отступ от подсобных сооружений до: 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земельных участков – 500 – 1 500 кв.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4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Блокированная жилая застройка</w:t>
            </w:r>
          </w:p>
        </w:tc>
        <w:tc>
          <w:tcPr>
            <w:tcW w:w="4847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блоков – до 2.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4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4847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530DDE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4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847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Амбулаторное ветеринарное обслуживание.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Гостиничное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ind w:right="74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1A30FD">
      <w:pPr>
        <w:tabs>
          <w:tab w:val="left" w:pos="709"/>
          <w:tab w:val="left" w:pos="851"/>
        </w:tabs>
        <w:ind w:firstLine="70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23.</w:t>
      </w:r>
      <w:r w:rsidRPr="00FA10F4">
        <w:rPr>
          <w:rFonts w:eastAsia="Times New Roman" w:cs="Times New Roman"/>
          <w:b/>
          <w:szCs w:val="28"/>
          <w:lang w:eastAsia="ru-RU"/>
        </w:rPr>
        <w:t xml:space="preserve"> Зона застройки малоэтажными жилыми домами Ж.2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B02344">
        <w:trPr>
          <w:trHeight w:val="837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ind w:right="74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участков, максимальный процент застройки в границах земельного участка определяются 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ind w:right="74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="001A30F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530DDE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1965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797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797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24.</w:t>
      </w:r>
      <w:r w:rsidRPr="00FA10F4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Подзона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застройки малоэтажными жилыми домами повышенной комфортности Ж.2.1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объектов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20.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530DDE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1965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797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797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797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tabs>
          <w:tab w:val="left" w:pos="709"/>
        </w:tabs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ab/>
        <w:t>Статья 25.</w:t>
      </w:r>
      <w:r w:rsidRPr="00FA10F4">
        <w:rPr>
          <w:rFonts w:eastAsia="Times New Roman" w:cs="Times New Roman"/>
          <w:b/>
          <w:szCs w:val="28"/>
          <w:lang w:eastAsia="ru-RU"/>
        </w:rPr>
        <w:t xml:space="preserve"> Зона застройки </w:t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среднеэтажными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жилыми домами Ж.3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</w:p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5 до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от 5 до 6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20.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7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18.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15.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13046A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cantSplit/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cantSplit/>
          <w:trHeight w:val="2043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43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65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1312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6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="0013046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26.</w:t>
      </w:r>
      <w:r w:rsidRPr="00FA10F4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Подзона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сложившейся застройки </w:t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среднеэтажными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жилыми домами Ж.3.1</w:t>
      </w:r>
    </w:p>
    <w:p w:rsidR="00FA10F4" w:rsidRPr="00FA10F4" w:rsidRDefault="00FA10F4" w:rsidP="00FA10F4">
      <w:pPr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5 до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13046A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8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8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1115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27.</w:t>
      </w:r>
      <w:r w:rsidRPr="00FA10F4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Подзона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застройки </w:t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среднеэтажными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жилыми домами повышенной комфортности Ж.3.2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5 до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5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15.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6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13.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7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11.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для объектов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среднеэтажной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жилой застройки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 – 9.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cantSplit/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FA10F4" w:rsidRPr="00FA10F4" w:rsidTr="0013046A">
        <w:trPr>
          <w:cantSplit/>
          <w:trHeight w:val="2043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43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65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1312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cantSplit/>
          <w:trHeight w:val="206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F5283B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F5283B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left="2127" w:hanging="141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28.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застройки многоэтажными жилыми домами Ж.4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размещении жилых домов вдоль магистральных улиц и дорог в первых этажах таких домов должны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0429FC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9FC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15.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</w:p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29.</w:t>
      </w:r>
      <w:r w:rsidRPr="00FA10F4">
        <w:rPr>
          <w:rFonts w:eastAsia="Times New Roman" w:cs="Times New Roman"/>
          <w:szCs w:val="28"/>
          <w:lang w:eastAsia="ru-RU"/>
        </w:rPr>
        <w:tab/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Подзона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сложившейся застройки многоэтажными жилыми домами Ж.4.1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9FC" w:rsidRDefault="000429FC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B02344" w:rsidRPr="00FA10F4" w:rsidRDefault="00B0234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Статья 30.</w:t>
      </w:r>
      <w:r w:rsidRPr="00FA10F4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FA10F4">
        <w:rPr>
          <w:rFonts w:eastAsia="Times New Roman" w:cs="Times New Roman"/>
          <w:b/>
          <w:szCs w:val="28"/>
          <w:lang w:eastAsia="ru-RU"/>
        </w:rPr>
        <w:t>Подзона</w:t>
      </w:r>
      <w:proofErr w:type="spellEnd"/>
      <w:r w:rsidRPr="00FA10F4">
        <w:rPr>
          <w:rFonts w:eastAsia="Times New Roman" w:cs="Times New Roman"/>
          <w:b/>
          <w:szCs w:val="28"/>
          <w:lang w:eastAsia="ru-RU"/>
        </w:rPr>
        <w:t xml:space="preserve"> застройки многоэтажными жилыми домами повышенной комфортности Ж.4.2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0429FC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29FC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13.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Блокированная жилая застройка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31.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сложившейся застройки жилыми домами смешанной этажности Ж.5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tabs>
                <w:tab w:val="left" w:pos="1877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5 до 8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с встроенными в первый этаж или пристроенными помещениями общественного назначения, кроме объектов образования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просвещения.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СП 54.13330.2011. 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нового строительства жилых домов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земельного участка – 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32.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административно-делового назначения ОД.1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социальной помощи населению.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услуг связи.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Амбулаторное ветеринарное обслуживание.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33.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коммунально-бытового назначения ОД.2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Коммунальное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внутреннего правопорядка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1412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34.</w:t>
      </w:r>
      <w:r w:rsidRPr="00FA10F4">
        <w:rPr>
          <w:rFonts w:eastAsia="Times New Roman" w:cs="Times New Roman"/>
          <w:b/>
          <w:szCs w:val="28"/>
          <w:lang w:eastAsia="ru-RU"/>
        </w:rPr>
        <w:tab/>
        <w:t xml:space="preserve">Зона размещения объектов торгового назначения </w:t>
      </w:r>
      <w:r w:rsidRPr="00FA10F4">
        <w:rPr>
          <w:rFonts w:eastAsia="Times New Roman" w:cs="Times New Roman"/>
          <w:b/>
          <w:szCs w:val="28"/>
          <w:lang w:eastAsia="ru-RU"/>
        </w:rPr>
        <w:br/>
        <w:t>и общественного питания ОД.3</w:t>
      </w:r>
    </w:p>
    <w:p w:rsidR="00FA10F4" w:rsidRPr="00FA10F4" w:rsidRDefault="00FA10F4" w:rsidP="00FA10F4">
      <w:pPr>
        <w:ind w:left="1560" w:hanging="1560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Рынки.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Цирки и зверинцы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-ярмарочная деятельность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причиняющих вред окружающей среде 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35.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образования и просвещения ОД.4 (ДОУ)</w:t>
      </w: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санитарному благополучию, требующих установления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Default="00FA10F4" w:rsidP="000429FC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36.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культурно-досугового назначения ОД.5</w:t>
      </w:r>
    </w:p>
    <w:p w:rsidR="00F5283B" w:rsidRPr="000429FC" w:rsidRDefault="00F5283B" w:rsidP="000429FC">
      <w:pPr>
        <w:ind w:left="2127" w:hanging="1419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Парки культуры и отдыха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– 80. 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– 80. 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5D7EB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jc w:val="left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jc w:val="left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37.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здравоохранения ОД.6 (ЗД)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Здравоохранение.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Медицинские организации особого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поликлиники до красной линии – 15 м.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Минимальный отступ от больничного корпуса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 красной линии – 30 м.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1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благополучию, требующих установления 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38.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социального обслуживания ОД.7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B0234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709" w:hanging="1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39.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культовых объектов ОД.9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Статья 40.</w:t>
      </w:r>
      <w:r w:rsidRPr="00FA10F4">
        <w:rPr>
          <w:rFonts w:eastAsia="Times New Roman" w:cs="Times New Roman"/>
          <w:b/>
          <w:szCs w:val="28"/>
          <w:lang w:eastAsia="ru-RU"/>
        </w:rPr>
        <w:tab/>
        <w:t xml:space="preserve">Зона размещения объектов делового, общественного </w:t>
      </w:r>
      <w:r w:rsidRPr="00FA10F4">
        <w:rPr>
          <w:rFonts w:eastAsia="Times New Roman" w:cs="Times New Roman"/>
          <w:b/>
          <w:szCs w:val="28"/>
          <w:lang w:eastAsia="ru-RU"/>
        </w:rPr>
        <w:br/>
        <w:t>и коммерческого назначения ОД.10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outlineLvl w:val="3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Рынки.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Гостиничное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Культурное развитие.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Лёгкая промышленность.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Пищевая промышленность.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283B" w:rsidRDefault="00F5283B" w:rsidP="00B02344">
      <w:pPr>
        <w:ind w:firstLine="709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B02344">
      <w:pPr>
        <w:ind w:firstLine="709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  <w:vAlign w:val="center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-ярмарочная деятельность</w:t>
            </w:r>
          </w:p>
        </w:tc>
        <w:tc>
          <w:tcPr>
            <w:tcW w:w="4748" w:type="dxa"/>
            <w:vAlign w:val="center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41.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объектов среднего и высшего профессионального образования ОД.11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70.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на территории муниципального образования городской округ 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научной деятельности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1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санитарному благополучию, требующих установления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FA10F4" w:rsidRDefault="00FA10F4" w:rsidP="00B0234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42.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университетского городка УГ</w:t>
      </w:r>
    </w:p>
    <w:p w:rsidR="00F5283B" w:rsidRPr="00B02344" w:rsidRDefault="00F5283B" w:rsidP="00B02344">
      <w:pPr>
        <w:ind w:firstLine="708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ind w:right="-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и просвещение.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Жилая застройка.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Общежития.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Парки культуры и отдыха.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Предельные размеры земельных участков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предельные параметры разрешённого строительства устанавливаются в соответствии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с утверждённой документацией по планировке территории, разработанной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При подготовке проектной документации, строительстве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эксплуатации объекта застройщикам необходимо предусматривать парковочные места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на отведённом </w:t>
            </w:r>
            <w:r w:rsidR="00B02344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для строительства земельном участке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в соответствии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 действующими региональными нормативами градостроительного проектирования Ханты-Мансийского автономного округа – Югры и местными нормативами градостроительного проектирования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городской округ город Сургут</w:t>
            </w: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Амбулаторно-поликлиническое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Гостиничное обслуживание.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питание.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Бытовое обслуживание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Предельные размеры земельных участков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предельные параметры разрешённого строительства устанавливаются в соответствии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с утверждённой документацией по планировке территории, разработанной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При подготовке проектной документации, строительстве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эксплуатации объекта застройщикам необходимо предусматривать парковочные места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на отведённом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для строительства земельном участке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в соответствии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 действующими региональными нормативами градостроительного проектирования Ханты-Мансийского автономного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округа – Югры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местными нормативами градостроительного проектирования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городской округ город Сургут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Предельные размеры земельных участков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предельные параметры разрешённого строительства устанавливаются в соответствии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с утверждённой документацией по планировке территории, разработанной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город Сургут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9"/>
        <w:outlineLvl w:val="0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43.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складских объектов П.1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291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100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283B" w:rsidRDefault="00F5283B" w:rsidP="000429FC">
      <w:pPr>
        <w:ind w:firstLine="709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0429FC">
      <w:pPr>
        <w:ind w:firstLine="709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left="2127" w:hanging="141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44.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производственных объектов П.2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Производственная деятельность.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Тяжёлая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Автомобилестроительная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Лёгкая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Фармацевтическая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Пищевая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Нефтехимическая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Не допускается размещать объекты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по производству лекарственных веществ, лекарственных средств и (или) лекарственных форм, объекты пищевых отраслей промышленности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 санитарно-защитной зоне и на территории объектов других отраслей промышленности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highlight w:val="yellow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 Максимальный процент застройки в границах земельного участка – 80</w:t>
            </w:r>
          </w:p>
        </w:tc>
        <w:tc>
          <w:tcPr>
            <w:tcW w:w="2268" w:type="dxa"/>
            <w:vAlign w:val="center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t>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Заправка транспортных средств.</w:t>
            </w:r>
          </w:p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Автомобильные мойки.</w:t>
            </w:r>
          </w:p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t>й отступ от красной линии – 3 м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left="2127" w:hanging="141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45.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объектов тяжёлой промышленности П.3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Тяжёлая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Не допускается размещать склады сырья и полупродуктов для фармацевтических предприятий, оптовые склады продовольственного сырья и пищевых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продуктов в санитарно-защитной зоне и на территории объектов других отраслей промышленности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46.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лёгкой промышленности П.4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Лёгкая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Фармацевтическая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52"/>
        <w:gridCol w:w="4744"/>
        <w:gridCol w:w="2268"/>
      </w:tblGrid>
      <w:tr w:rsidR="00FA10F4" w:rsidRPr="00FA10F4" w:rsidTr="0013046A">
        <w:trPr>
          <w:trHeight w:val="378"/>
        </w:trPr>
        <w:tc>
          <w:tcPr>
            <w:tcW w:w="2452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36"/>
        </w:trPr>
        <w:tc>
          <w:tcPr>
            <w:tcW w:w="2452" w:type="dxa"/>
          </w:tcPr>
          <w:p w:rsidR="00FA10F4" w:rsidRPr="00FA10F4" w:rsidRDefault="00FA10F4" w:rsidP="00FA10F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36"/>
        </w:trPr>
        <w:tc>
          <w:tcPr>
            <w:tcW w:w="2452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36"/>
        </w:trPr>
        <w:tc>
          <w:tcPr>
            <w:tcW w:w="2452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47.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объектов пищевой промышленности П.5</w:t>
      </w:r>
    </w:p>
    <w:p w:rsidR="00FA10F4" w:rsidRPr="00FA10F4" w:rsidRDefault="00FA10F4" w:rsidP="00FA10F4">
      <w:pPr>
        <w:jc w:val="left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Пищевая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left="2127" w:hanging="141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48.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нефтехимической промышленности П.6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Нефтехимическая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="00215D3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2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2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2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tabs>
          <w:tab w:val="left" w:pos="709"/>
        </w:tabs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49.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размещения объектов строительной промышленности П.7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291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Строительная промышленность.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Деловое управление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50.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добычи полезных ископаемых П.8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8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tabs>
                <w:tab w:val="left" w:pos="1877"/>
              </w:tabs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8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Склады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left="709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70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51.</w:t>
      </w:r>
      <w:r w:rsidRPr="00FA10F4">
        <w:rPr>
          <w:rFonts w:eastAsia="Times New Roman" w:cs="Times New Roman"/>
          <w:b/>
          <w:szCs w:val="28"/>
          <w:lang w:eastAsia="ru-RU"/>
        </w:rPr>
        <w:tab/>
        <w:t xml:space="preserve">Зона автомобильных дорог АД 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99"/>
      </w:tblGrid>
      <w:tr w:rsidR="00FA10F4" w:rsidRPr="00FA10F4" w:rsidTr="00C27EEE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C27EEE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автомобильных дорог.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Стоянк</w:t>
            </w:r>
            <w:r w:rsidR="00C27EEE">
              <w:rPr>
                <w:rFonts w:eastAsia="Times New Roman" w:cs="Times New Roman"/>
                <w:sz w:val="20"/>
                <w:szCs w:val="20"/>
                <w:lang w:eastAsia="ru-RU"/>
              </w:rPr>
              <w:t>и транспорта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градостроительного проектирования Ханты-Мансийского автономного округа – Югры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C27EEE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52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82"/>
        <w:gridCol w:w="4748"/>
        <w:gridCol w:w="2299"/>
      </w:tblGrid>
      <w:tr w:rsidR="00FA10F4" w:rsidRPr="00FA10F4" w:rsidTr="00C27EEE">
        <w:trPr>
          <w:trHeight w:val="384"/>
        </w:trPr>
        <w:tc>
          <w:tcPr>
            <w:tcW w:w="2482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C27EEE">
        <w:trPr>
          <w:trHeight w:val="206"/>
        </w:trPr>
        <w:tc>
          <w:tcPr>
            <w:tcW w:w="2482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52.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объектов автомобильного транспорта ИТ.1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помещений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53.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железнодорожного транспорта ИТ.2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Железнодорожный транспорт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Постановлением Правительства Российской Федерации от 12.10.2006 № 611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«О порядке установления и использования полос отвода и охранных зон железных дорог», Приказом Министерства транспорта Российской Федерации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от 06.08.2008 № 126 «Об утверждении Норм отвода земельных участков, необходимых для формирования полосы отвода железных дорог,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а также норм расчета охранных зон железных дорог»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tabs>
          <w:tab w:val="left" w:pos="2127"/>
        </w:tabs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54.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воздушного транспорта ИТ.3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Воздушный транспорт.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Авиационный спорт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воздушным законодательством Российской Федерации.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СН 457-74. Строительные нормы. Нормы отвода земель для аэропортов,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линий связи, линий электропередачи, радиотехнических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на аэродроме, должно быть согласовано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с собственником аэродрома </w:t>
            </w: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и осуществляться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в соответствии </w:t>
            </w:r>
            <w:r w:rsidR="00C27EEE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 воздушным законодательством Российской Федерации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55.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внутреннего водного транспорта ИТ.4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Водный транспорт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Использование земельного участка, расположенного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в пределах береговой полосы водного объекта общего пользования,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допускается при условии обеспечения свободного доступа граждан к водному объекту общего пользования и его береговой полосе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56.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трубопроводного транспорта ИТ.5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Трубопроводный транспорт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57.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многоэтажных автостоянок МА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tabs>
                <w:tab w:val="left" w:pos="1877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Предельные размеры земельных участков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и предельные параметры разрешённого строительства устанавливаются в соответствии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с утверждённой документацией по планировке территории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tabs>
                <w:tab w:val="left" w:pos="1877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Ремонт автомобилей.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Автомобильные мойки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Максимальный процент от общей площади объекта капитального строительства – 25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1985" w:hanging="1276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58.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коммунально-инженерной инфраструктуры КИ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Статья 59.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энергетики ЭН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Энергетика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0429FC" w:rsidRPr="00FA10F4" w:rsidRDefault="000429FC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60.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связи СВ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61.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городских лесов Р.1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5283B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Отдых (рекреация).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Охрана природных территорий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земель, на которых расположены городские леса, осуществлять в соответствии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лесохозяйственным регламентом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Запрещается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использование токсичных химических препаратов для охраны и защиты лесов, в том числе в научных целях; осуществление видов деятельности в сфере охотничьего хозяйства; ведение сельского хозяйства; разработка месторождений полезных ископаемых; размещение объектов капитального строительства,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за исключением гидротехнических сооружений.</w:t>
            </w:r>
          </w:p>
          <w:p w:rsidR="000429FC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Иные ограничения использования определяются лесохозяйственным регламентом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62.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озеленённых территорий общего пользования Р.2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Отдых (рекреация).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Охрана природных территорий.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Деятельность по особой охране и изучению природы.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 xml:space="preserve">Парки культуры </w:t>
            </w:r>
            <w:r w:rsidRPr="00FA10F4">
              <w:rPr>
                <w:rFonts w:eastAsia="Calibri" w:cs="Times New Roman"/>
                <w:sz w:val="20"/>
                <w:szCs w:val="20"/>
              </w:rPr>
              <w:br/>
              <w:t>и отдыха.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объек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 капитального строительства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границах </w:t>
            </w:r>
            <w:proofErr w:type="spellStart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зон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и прибрежн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t xml:space="preserve">ых защитных полос осуществлять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соответствии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 требованиями статьи 65 Водного кодекса Российской Федерации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Культурное развитие.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Развлекательные мероприятия</w:t>
            </w:r>
          </w:p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  <w:vMerge w:val="restart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объектов капитального строительства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границах </w:t>
            </w:r>
            <w:proofErr w:type="spellStart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зон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и прибрежных защитных полос осуществлять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 xml:space="preserve">в соответствии </w:t>
            </w:r>
            <w:r w:rsidR="000429FC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 требованиями статьи 65 Водного кодекса Российской Федерации 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30</w:t>
            </w:r>
          </w:p>
        </w:tc>
        <w:tc>
          <w:tcPr>
            <w:tcW w:w="2268" w:type="dxa"/>
            <w:vMerge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30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384"/>
        </w:trPr>
        <w:tc>
          <w:tcPr>
            <w:tcW w:w="2448" w:type="dxa"/>
            <w:vAlign w:val="center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-ярмарочная деятельность</w:t>
            </w:r>
          </w:p>
        </w:tc>
        <w:tc>
          <w:tcPr>
            <w:tcW w:w="4748" w:type="dxa"/>
            <w:vAlign w:val="center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63.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объектов отдыха, туризма и санаторно-курортного лечения Р.3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5283B" w:rsidRDefault="00FA10F4" w:rsidP="00F5283B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Природно-познавательный туризм.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Туристическое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Санаторная деятельность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Культурное развитие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Магазины.</w:t>
            </w:r>
          </w:p>
          <w:p w:rsidR="00FA10F4" w:rsidRPr="00FA10F4" w:rsidRDefault="00FA10F4" w:rsidP="00FA10F4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-ярмарочная деятельность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t>й отступ от красной линии – 6 м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причиняющих вред окружающей среде </w:t>
            </w:r>
            <w:r w:rsidR="00215D3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благополучию, требующих установления 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64.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объектов спорта Р.4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для занятий спортом.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Оборудованные площадки для занятий спортом.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базы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2. Условно разрешённые виды и параметры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Водный спорт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46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</w:t>
            </w:r>
          </w:p>
        </w:tc>
        <w:tc>
          <w:tcPr>
            <w:tcW w:w="2268" w:type="dxa"/>
            <w:vMerge w:val="restart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Совокупная площадь объектов не должна превышать 20 %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от площади объектов основного вида разрешённого использования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помещений – до 1 000 кв. м</w:t>
            </w:r>
          </w:p>
        </w:tc>
        <w:tc>
          <w:tcPr>
            <w:tcW w:w="2268" w:type="dxa"/>
            <w:vMerge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благополучию, требующих установления 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65.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обеспечения обороны и безопасности ОБ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обороны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безопасности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66.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режимных территорий РО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0429FC" w:rsidRPr="00FA10F4" w:rsidRDefault="000429FC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tabs>
          <w:tab w:val="left" w:pos="709"/>
        </w:tabs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ab/>
        <w:t>Статья 67.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ритуального назначения СИ.1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99"/>
      </w:tblGrid>
      <w:tr w:rsidR="00FA10F4" w:rsidRPr="00FA10F4" w:rsidTr="00E61906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ind w:right="27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E61906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Ритуальная деятельность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Федерального закона от 12.01.1996 № 8-ФЗ «О погребении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похоронном деле», Постановления Главного государственного санитарного врача Российской Федерации от 28.06.2011 № 84 «Об утверждении СанПиН 2.1.2882-11 «Гигиенические требования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 размещению, устройству и содержанию кладбищ, зданий и сооружений похоронного назначения».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99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объектов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</w:tr>
      <w:tr w:rsidR="00FA10F4" w:rsidRPr="00FA10F4" w:rsidTr="0013046A">
        <w:trPr>
          <w:trHeight w:val="43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lastRenderedPageBreak/>
              <w:t>Бытовое обслуживание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Default="00FA10F4" w:rsidP="00B0234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5283B" w:rsidRPr="00B02344" w:rsidRDefault="00F5283B" w:rsidP="00B0234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68.</w:t>
      </w:r>
      <w:r w:rsidRPr="00FA10F4">
        <w:rPr>
          <w:rFonts w:eastAsia="Times New Roman" w:cs="Times New Roman"/>
          <w:b/>
          <w:szCs w:val="28"/>
          <w:lang w:eastAsia="ru-RU"/>
        </w:rPr>
        <w:tab/>
        <w:t xml:space="preserve">Зона объектов размещения отходов производства </w:t>
      </w:r>
      <w:r w:rsidRPr="00FA10F4">
        <w:rPr>
          <w:rFonts w:eastAsia="Times New Roman" w:cs="Times New Roman"/>
          <w:b/>
          <w:szCs w:val="28"/>
          <w:lang w:eastAsia="ru-RU"/>
        </w:rPr>
        <w:br/>
        <w:t>и потребления СИ.2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Специальная деятельность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земельных участков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«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 2.1.7.1038-01. 2.1.7. Почва, очистка населенных мест, отходы производства и потребления, санитарная охрана почвы. Гигиенические требования к устройству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и содержанию полигонов для твёрдых бытовых отходов. Санитарные правила».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Запрещается захоронение отходов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границах населённых пунктов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69.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складирования снежных масс СИ.3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объектов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center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70.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сельскохозяйственных угодий СХ.1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Выращивание зерновых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иных сельскохозяйственных культур.</w:t>
            </w:r>
          </w:p>
          <w:p w:rsidR="00FA10F4" w:rsidRPr="00FA10F4" w:rsidRDefault="00FA10F4" w:rsidP="00FA10F4">
            <w:pPr>
              <w:tabs>
                <w:tab w:val="left" w:pos="96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Овощеводство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71.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объектов сельскохозяйственного назначения СХ.2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земельных участков для ведения животноводства – 1 – 5 га.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Размеры земельных участков для ведения крестьянского (фермерского) хозяйства – 1 – 140 га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Default="00FA10F4" w:rsidP="00B0234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</w:t>
      </w:r>
      <w:r w:rsidR="005D7EBF">
        <w:rPr>
          <w:rFonts w:eastAsia="Times New Roman" w:cs="Times New Roman"/>
          <w:szCs w:val="28"/>
          <w:lang w:eastAsia="ru-RU"/>
        </w:rPr>
        <w:t>тов капитального строительства:</w:t>
      </w:r>
    </w:p>
    <w:p w:rsidR="005D7EBF" w:rsidRPr="00B02344" w:rsidRDefault="005D7EBF" w:rsidP="00B0234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Default="00FA10F4" w:rsidP="000429FC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72.</w:t>
      </w:r>
      <w:r w:rsidRPr="00FA10F4">
        <w:rPr>
          <w:rFonts w:eastAsia="Times New Roman" w:cs="Times New Roman"/>
          <w:b/>
          <w:szCs w:val="28"/>
          <w:lang w:eastAsia="ru-RU"/>
        </w:rPr>
        <w:tab/>
        <w:t>Зона садоводства СХ.3</w:t>
      </w:r>
    </w:p>
    <w:p w:rsidR="005D7EBF" w:rsidRPr="000429FC" w:rsidRDefault="005D7EBF" w:rsidP="000429FC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строения или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0429FC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мельного участка </w:t>
            </w:r>
            <w:r w:rsidR="000429FC"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50</w:t>
            </w:r>
            <w:r w:rsidR="000429FC" w:rsidRPr="000429F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Размеры земельных участков – 0,04 – 0,15 га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случае нахождения территорий садоводческих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огороднических некоммерческих объединений граждан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границах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зон обеспечить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их оборудование сооружениями, обеспечивающими охрану водных объектов от загрязнения, засорения, заиления и истощения вод в соответствии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водным законодательством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законодательством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области охраны окружающей среды.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Допускается применение приёмников, изготовленных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из водонепроницаемых материалов, предотвращающих поступление загрязняющих веществ, иных веществ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микроорганизмов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окружающую среду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Земельные участки (территории) общего пользования.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общего назначения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  <w:hideMark/>
          </w:tcPr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tabs>
                <w:tab w:val="center" w:pos="1116"/>
              </w:tabs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Не допускается размещение объектов, требующих установление санитарно-защитных зон</w:t>
            </w:r>
          </w:p>
        </w:tc>
      </w:tr>
    </w:tbl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73.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 xml:space="preserve">Зона дачного хозяйства СХ.4 – </w:t>
      </w:r>
      <w:r w:rsidRPr="00FA10F4">
        <w:rPr>
          <w:rFonts w:eastAsia="Times New Roman" w:cs="Times New Roman"/>
          <w:szCs w:val="28"/>
          <w:lang w:eastAsia="ru-RU"/>
        </w:rPr>
        <w:t>исключена</w:t>
      </w:r>
      <w:r w:rsidRPr="00FA10F4">
        <w:rPr>
          <w:rFonts w:eastAsia="Times New Roman" w:cs="Times New Roman"/>
          <w:b/>
          <w:szCs w:val="28"/>
          <w:lang w:eastAsia="ru-RU"/>
        </w:rPr>
        <w:t xml:space="preserve"> </w:t>
      </w:r>
      <w:r w:rsidRPr="00FA10F4">
        <w:rPr>
          <w:rFonts w:eastAsia="Times New Roman" w:cs="Times New Roman"/>
          <w:szCs w:val="28"/>
          <w:lang w:eastAsia="ru-RU"/>
        </w:rPr>
        <w:t>решением Думы города от 26.09.2019 № 477-</w:t>
      </w:r>
      <w:r w:rsidRPr="00FA10F4">
        <w:rPr>
          <w:rFonts w:eastAsia="Times New Roman" w:cs="Times New Roman"/>
          <w:szCs w:val="28"/>
          <w:lang w:val="en-US" w:eastAsia="ru-RU"/>
        </w:rPr>
        <w:t>VI</w:t>
      </w:r>
      <w:r w:rsidRPr="00FA10F4">
        <w:rPr>
          <w:rFonts w:eastAsia="Times New Roman" w:cs="Times New Roman"/>
          <w:szCs w:val="28"/>
          <w:lang w:eastAsia="ru-RU"/>
        </w:rPr>
        <w:t xml:space="preserve"> ДГ «О внесении изменений в решение городской Думы от 28.06.2005 № 475-</w:t>
      </w:r>
      <w:r w:rsidRPr="00FA10F4">
        <w:rPr>
          <w:rFonts w:eastAsia="Times New Roman" w:cs="Times New Roman"/>
          <w:szCs w:val="28"/>
          <w:lang w:val="en-US" w:eastAsia="ru-RU"/>
        </w:rPr>
        <w:t>III</w:t>
      </w:r>
      <w:r w:rsidRPr="00FA10F4">
        <w:rPr>
          <w:rFonts w:eastAsia="Times New Roman" w:cs="Times New Roman"/>
          <w:szCs w:val="28"/>
          <w:lang w:eastAsia="ru-RU"/>
        </w:rPr>
        <w:t xml:space="preserve"> ГД «Об утверждении Правил землепользования и застройки на территории города Сургута».</w:t>
      </w:r>
    </w:p>
    <w:p w:rsidR="00FA10F4" w:rsidRPr="00FA10F4" w:rsidRDefault="00FA10F4" w:rsidP="00FA10F4">
      <w:pPr>
        <w:ind w:firstLine="708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Статья 74.</w:t>
      </w:r>
      <w:r w:rsidRPr="00FA10F4">
        <w:rPr>
          <w:rFonts w:eastAsia="Times New Roman" w:cs="Times New Roman"/>
          <w:b/>
          <w:szCs w:val="28"/>
          <w:lang w:eastAsia="ru-RU"/>
        </w:rPr>
        <w:t xml:space="preserve"> Зона приютов для животных ПЖ</w:t>
      </w:r>
    </w:p>
    <w:p w:rsidR="00FA10F4" w:rsidRPr="00FA10F4" w:rsidRDefault="00FA10F4" w:rsidP="00FA10F4">
      <w:pPr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Приюты для животных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Российской Федерации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25.09.2007 № 74 «О введении в действие новой редакции санитарно-эпидемиологических правил </w:t>
            </w:r>
            <w:r w:rsidR="000429F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нормативов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Склады.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Специальная деятельность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Российской Федерации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25.09.2007 № 74 «О введении в действие новой редакции санитарно-эпидемиологических правил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 нормативов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567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567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Статья 75. </w:t>
      </w:r>
      <w:r w:rsidRPr="00FA10F4">
        <w:rPr>
          <w:rFonts w:eastAsia="Times New Roman" w:cs="Times New Roman"/>
          <w:b/>
          <w:szCs w:val="28"/>
          <w:lang w:eastAsia="ru-RU"/>
        </w:rPr>
        <w:t>Зона размещения гаражных объектов ГН</w:t>
      </w:r>
    </w:p>
    <w:p w:rsidR="00FA10F4" w:rsidRPr="00FA10F4" w:rsidRDefault="00FA10F4" w:rsidP="00FA10F4">
      <w:pPr>
        <w:ind w:firstLine="567"/>
        <w:rPr>
          <w:rFonts w:eastAsia="Times New Roman" w:cs="Times New Roman"/>
          <w:szCs w:val="28"/>
          <w:lang w:eastAsia="ru-RU"/>
        </w:rPr>
      </w:pPr>
    </w:p>
    <w:p w:rsidR="00FA10F4" w:rsidRPr="00FA10F4" w:rsidRDefault="00B02344" w:rsidP="00B02344">
      <w:pPr>
        <w:ind w:firstLine="851"/>
        <w:contextualSpacing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FA10F4" w:rsidRPr="00FA10F4">
        <w:rPr>
          <w:rFonts w:eastAsia="Times New Roman" w:cs="Times New Roman"/>
          <w:szCs w:val="28"/>
          <w:lang w:eastAsia="ru-RU"/>
        </w:rPr>
        <w:t xml:space="preserve">Основные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left="927"/>
        <w:contextualSpacing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ind w:right="-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0F4" w:rsidRPr="00FA10F4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jc w:val="left"/>
        <w:outlineLvl w:val="0"/>
        <w:rPr>
          <w:rFonts w:eastAsia="Times New Roman" w:cs="Times New Roman"/>
          <w:b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1985" w:hanging="141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Статья 76. </w:t>
      </w:r>
      <w:r w:rsidRPr="00FA10F4">
        <w:rPr>
          <w:rFonts w:eastAsia="Times New Roman" w:cs="Times New Roman"/>
          <w:b/>
          <w:szCs w:val="28"/>
          <w:lang w:eastAsia="ru-RU"/>
        </w:rPr>
        <w:t>Зона комплексного и устойчивого развития территории КУРТ</w:t>
      </w:r>
    </w:p>
    <w:p w:rsidR="00FA10F4" w:rsidRPr="00FA10F4" w:rsidRDefault="00FA10F4" w:rsidP="00FA10F4">
      <w:pPr>
        <w:ind w:firstLine="567"/>
        <w:rPr>
          <w:rFonts w:eastAsia="Times New Roman" w:cs="Times New Roman"/>
          <w:szCs w:val="28"/>
          <w:lang w:eastAsia="ru-RU"/>
        </w:rPr>
      </w:pPr>
    </w:p>
    <w:p w:rsidR="00FA10F4" w:rsidRPr="00FA10F4" w:rsidRDefault="00E67F4B" w:rsidP="00E67F4B">
      <w:pPr>
        <w:ind w:firstLine="709"/>
        <w:contextualSpacing/>
        <w:outlineLvl w:val="0"/>
        <w:rPr>
          <w:rFonts w:eastAsia="Times New Roman" w:cs="Times New Roman"/>
          <w:szCs w:val="28"/>
          <w:lang w:eastAsia="ru-RU"/>
        </w:rPr>
      </w:pPr>
      <w:r w:rsidRPr="00E67F4B">
        <w:rPr>
          <w:rFonts w:eastAsia="Times New Roman" w:cs="Times New Roman"/>
          <w:szCs w:val="28"/>
          <w:lang w:eastAsia="ru-RU"/>
        </w:rPr>
        <w:t xml:space="preserve">1. </w:t>
      </w:r>
      <w:r w:rsidR="00FA10F4" w:rsidRPr="00FA10F4">
        <w:rPr>
          <w:rFonts w:eastAsia="Times New Roman" w:cs="Times New Roman"/>
          <w:szCs w:val="28"/>
          <w:lang w:eastAsia="ru-RU"/>
        </w:rPr>
        <w:t xml:space="preserve">Основные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left="927"/>
        <w:contextualSpacing/>
        <w:outlineLvl w:val="0"/>
        <w:rPr>
          <w:rFonts w:eastAsia="Times New Roman" w:cs="Times New Roman"/>
          <w:b/>
          <w:szCs w:val="28"/>
          <w:lang w:eastAsia="ru-RU"/>
        </w:rPr>
      </w:pPr>
    </w:p>
    <w:tbl>
      <w:tblPr>
        <w:tblW w:w="927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6"/>
        <w:gridCol w:w="5234"/>
        <w:gridCol w:w="1731"/>
      </w:tblGrid>
      <w:tr w:rsidR="00FA10F4" w:rsidRPr="00FA10F4" w:rsidTr="0013046A">
        <w:trPr>
          <w:trHeight w:val="552"/>
        </w:trPr>
        <w:tc>
          <w:tcPr>
            <w:tcW w:w="2306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от 9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красной линии допускается размещение жилого дома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Размещение встроенных, пристроенных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встроенно-пристроенных объектов осуществлять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требованиями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 54.13330.2011. </w:t>
            </w:r>
            <w:r w:rsidR="00E67F4B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Свод правил. Здания жилые многоквартирные. Актуализированная редакция СНиП 31-01-2003.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Размещение объектов общественного назначения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br/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FA10F4" w:rsidRPr="00E67F4B" w:rsidRDefault="00FA10F4" w:rsidP="00FA10F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7F4B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15.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Дошкольное, начальное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среднее общее образование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4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25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детского сада – 50.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школы – 60.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региональными нормативами градостроительного проектирования Ханты-Мансийского автономного </w:t>
            </w:r>
            <w:r w:rsidR="00E67F4B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 xml:space="preserve">округа – Югры, местными нормативами градостроительного проектирования на территории муниципального образования городской округ </w:t>
            </w:r>
            <w:r w:rsidR="00E67F4B">
              <w:rPr>
                <w:rFonts w:eastAsia="Calibri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город Сургут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Блокированная жилая застройка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3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Высота гаражей – до 5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жилого дома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улиц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красной линии проездов – 3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3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подсобных сооружений до: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красных линий улиц и проездов – 5 м;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границы соседнего земельного участка – 1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35.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Деловое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Общественное управление.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Банковская и страховая деятельность.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Бытовое обслуживание.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Гостиничное обслуживание.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Оказание услуг связи.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Объекты культурно-досуговой деятельности.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Парки культуры и отдыха.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Развлекательные мероприятия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Обеспечение занятий спортом в помещениях.</w:t>
            </w:r>
          </w:p>
          <w:p w:rsidR="00FA10F4" w:rsidRPr="00FA10F4" w:rsidRDefault="00FA10F4" w:rsidP="00FA10F4">
            <w:pPr>
              <w:rPr>
                <w:rFonts w:eastAsia="Calibri" w:cs="Times New Roman"/>
                <w:sz w:val="20"/>
                <w:szCs w:val="20"/>
              </w:rPr>
            </w:pPr>
            <w:r w:rsidRPr="00FA10F4">
              <w:rPr>
                <w:rFonts w:eastAsia="Calibri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552"/>
        </w:trPr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70.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60.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научной деятельности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Default="00FA10F4" w:rsidP="00E67F4B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5D7EBF" w:rsidRPr="00E67F4B" w:rsidRDefault="005D7EBF" w:rsidP="00E67F4B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p w:rsidR="00FA10F4" w:rsidRPr="00FA10F4" w:rsidRDefault="00FA10F4" w:rsidP="00FA10F4">
      <w:pPr>
        <w:ind w:firstLine="708"/>
        <w:jc w:val="lef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27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6"/>
        <w:gridCol w:w="5234"/>
        <w:gridCol w:w="1731"/>
      </w:tblGrid>
      <w:tr w:rsidR="00FA10F4" w:rsidRPr="00FA10F4" w:rsidTr="0013046A">
        <w:trPr>
          <w:trHeight w:val="552"/>
        </w:trPr>
        <w:tc>
          <w:tcPr>
            <w:tcW w:w="2306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552"/>
        </w:trPr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существенное неудобство жителям, вред окружающей среде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c>
          <w:tcPr>
            <w:tcW w:w="2306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5234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jc w:val="left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left="2127" w:hanging="1419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Статья 77.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автовокзалов ИТ.6</w:t>
      </w:r>
    </w:p>
    <w:p w:rsidR="00FA10F4" w:rsidRPr="00FA10F4" w:rsidRDefault="00FA10F4" w:rsidP="00FA10F4">
      <w:pPr>
        <w:rPr>
          <w:rFonts w:eastAsia="Times New Roman" w:cs="Times New Roman"/>
          <w:szCs w:val="28"/>
          <w:u w:val="single"/>
          <w:lang w:eastAsia="ru-RU"/>
        </w:rPr>
      </w:pPr>
    </w:p>
    <w:p w:rsidR="00FA10F4" w:rsidRPr="005D7EBF" w:rsidRDefault="00FA10F4" w:rsidP="005D7EBF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21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4"/>
        <w:gridCol w:w="5179"/>
        <w:gridCol w:w="1731"/>
      </w:tblGrid>
      <w:tr w:rsidR="00FA10F4" w:rsidRPr="00FA10F4" w:rsidTr="0013046A">
        <w:trPr>
          <w:trHeight w:val="552"/>
        </w:trPr>
        <w:tc>
          <w:tcPr>
            <w:tcW w:w="230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использования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30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Обслуживание перевозок пассажиров.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Стоянки транспорта общего пользования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21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4"/>
        <w:gridCol w:w="5179"/>
        <w:gridCol w:w="1731"/>
      </w:tblGrid>
      <w:tr w:rsidR="00FA10F4" w:rsidRPr="00FA10F4" w:rsidTr="0013046A">
        <w:trPr>
          <w:trHeight w:val="552"/>
        </w:trPr>
        <w:tc>
          <w:tcPr>
            <w:tcW w:w="230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304" w:type="dxa"/>
          </w:tcPr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дорожного отдыха.</w:t>
            </w:r>
          </w:p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Автомобильные мойки.</w:t>
            </w:r>
          </w:p>
          <w:p w:rsidR="00FA10F4" w:rsidRPr="00FA10F4" w:rsidRDefault="00FA10F4" w:rsidP="00FA10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21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4"/>
        <w:gridCol w:w="5179"/>
        <w:gridCol w:w="1731"/>
      </w:tblGrid>
      <w:tr w:rsidR="00FA10F4" w:rsidRPr="00FA10F4" w:rsidTr="0013046A">
        <w:trPr>
          <w:trHeight w:val="552"/>
        </w:trPr>
        <w:tc>
          <w:tcPr>
            <w:tcW w:w="2304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1731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30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коммунальных услуг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существенное неудобство жителям, вред окружающей среде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и санитарному благополучию</w:t>
            </w:r>
          </w:p>
        </w:tc>
      </w:tr>
      <w:tr w:rsidR="00FA10F4" w:rsidRPr="00FA10F4" w:rsidTr="0013046A">
        <w:tc>
          <w:tcPr>
            <w:tcW w:w="2304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5179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5D7EBF" w:rsidRDefault="005D7EBF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5D7EBF" w:rsidRPr="00FA10F4" w:rsidRDefault="005D7EBF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lastRenderedPageBreak/>
        <w:t>Статья 78.</w:t>
      </w:r>
      <w:r w:rsidRPr="00FA10F4">
        <w:rPr>
          <w:rFonts w:eastAsia="Times New Roman" w:cs="Times New Roman"/>
          <w:szCs w:val="28"/>
          <w:lang w:eastAsia="ru-RU"/>
        </w:rPr>
        <w:tab/>
      </w:r>
      <w:r w:rsidRPr="00FA10F4">
        <w:rPr>
          <w:rFonts w:eastAsia="Times New Roman" w:cs="Times New Roman"/>
          <w:b/>
          <w:szCs w:val="28"/>
          <w:lang w:eastAsia="ru-RU"/>
        </w:rPr>
        <w:t>Зона спорта ОД.8</w:t>
      </w:r>
    </w:p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552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спортивно-зрелищных мероприятий.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занятий спортом в помещениях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отступ от красной линии – 6 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Размеры земельных участков определяются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A10F4">
              <w:rPr>
                <w:rFonts w:eastAsia="Calibri" w:cs="Times New Roman"/>
                <w:sz w:val="20"/>
                <w:szCs w:val="20"/>
                <w:lang w:eastAsia="ru-RU"/>
              </w:rPr>
              <w:t>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 нет.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  <w:r w:rsidRPr="00FA10F4">
        <w:rPr>
          <w:rFonts w:eastAsia="Times New Roman" w:cs="Times New Roman"/>
          <w:szCs w:val="28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p w:rsidR="00FA10F4" w:rsidRPr="00FA10F4" w:rsidRDefault="00FA10F4" w:rsidP="00FA10F4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268"/>
      </w:tblGrid>
      <w:tr w:rsidR="00FA10F4" w:rsidRPr="00FA10F4" w:rsidTr="0013046A">
        <w:trPr>
          <w:trHeight w:val="384"/>
        </w:trPr>
        <w:tc>
          <w:tcPr>
            <w:tcW w:w="24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разрешённого использования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FA1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  <w:tr w:rsidR="00FA10F4" w:rsidRPr="00FA10F4" w:rsidTr="0013046A">
        <w:trPr>
          <w:trHeight w:val="1134"/>
        </w:trPr>
        <w:tc>
          <w:tcPr>
            <w:tcW w:w="2448" w:type="dxa"/>
            <w:vAlign w:val="center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для занятий спортом.</w:t>
            </w:r>
          </w:p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4748" w:type="dxa"/>
            <w:vAlign w:val="center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отс</w:t>
            </w:r>
            <w:r w:rsidR="00C27EEE">
              <w:rPr>
                <w:rFonts w:eastAsia="Times New Roman" w:cs="Times New Roman"/>
                <w:sz w:val="20"/>
                <w:szCs w:val="20"/>
                <w:lang w:eastAsia="ru-RU"/>
              </w:rPr>
              <w:t>туп от красной линии – 6 м</w:t>
            </w: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A10F4" w:rsidRPr="00FA10F4" w:rsidRDefault="00FA10F4" w:rsidP="00FA1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A10F4" w:rsidRPr="00FA10F4" w:rsidTr="0013046A">
        <w:trPr>
          <w:trHeight w:val="464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площадь – до 1 000 кв. м</w:t>
            </w:r>
          </w:p>
        </w:tc>
        <w:tc>
          <w:tcPr>
            <w:tcW w:w="2268" w:type="dxa"/>
            <w:vMerge w:val="restart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Совокупная площадь объектов не должна превышать 20 %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от площади объектов основного вида разрешённого использования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Общая площадь помещений – до 1 000 кв. м</w:t>
            </w:r>
          </w:p>
        </w:tc>
        <w:tc>
          <w:tcPr>
            <w:tcW w:w="2268" w:type="dxa"/>
            <w:vMerge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Этажность – до 2 </w:t>
            </w:r>
            <w:proofErr w:type="spellStart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допускается размещение объектов, причиняющих вред окружающей среде </w:t>
            </w:r>
            <w:r w:rsidR="00E67F4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санитарному благополучию, требующих установления </w:t>
            </w: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санитарно-защитных зон</w:t>
            </w:r>
          </w:p>
        </w:tc>
      </w:tr>
      <w:tr w:rsidR="00FA10F4" w:rsidRPr="00FA10F4" w:rsidTr="0013046A">
        <w:trPr>
          <w:trHeight w:val="206"/>
        </w:trPr>
        <w:tc>
          <w:tcPr>
            <w:tcW w:w="244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0F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4748" w:type="dxa"/>
          </w:tcPr>
          <w:p w:rsidR="00FA10F4" w:rsidRPr="00FA10F4" w:rsidRDefault="00FA10F4" w:rsidP="00FA10F4">
            <w:pPr>
              <w:tabs>
                <w:tab w:val="left" w:pos="32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10F4" w:rsidRPr="00FA10F4" w:rsidRDefault="00FA10F4" w:rsidP="00FA10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0F4" w:rsidRPr="00FA10F4" w:rsidRDefault="00FA10F4" w:rsidP="00FA10F4">
      <w:pPr>
        <w:rPr>
          <w:rFonts w:eastAsia="Times New Roman" w:cs="Times New Roman"/>
          <w:szCs w:val="28"/>
          <w:lang w:eastAsia="ru-RU"/>
        </w:rPr>
      </w:pPr>
    </w:p>
    <w:p w:rsidR="005675A7" w:rsidRDefault="005675A7" w:rsidP="00E30C6D">
      <w:pPr>
        <w:tabs>
          <w:tab w:val="right" w:pos="9638"/>
        </w:tabs>
        <w:rPr>
          <w:rFonts w:cs="Times New Roman"/>
          <w:spacing w:val="14"/>
          <w:szCs w:val="28"/>
        </w:rPr>
      </w:pPr>
    </w:p>
    <w:sectPr w:rsidR="005675A7" w:rsidSect="00B02344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17" w:rsidRDefault="00EB1A17" w:rsidP="006757BB">
      <w:r>
        <w:separator/>
      </w:r>
    </w:p>
  </w:endnote>
  <w:endnote w:type="continuationSeparator" w:id="0">
    <w:p w:rsidR="00EB1A17" w:rsidRDefault="00EB1A1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44" w:rsidRDefault="00B02344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17" w:rsidRDefault="00EB1A17" w:rsidP="006757BB">
      <w:r>
        <w:separator/>
      </w:r>
    </w:p>
  </w:footnote>
  <w:footnote w:type="continuationSeparator" w:id="0">
    <w:p w:rsidR="00EB1A17" w:rsidRDefault="00EB1A1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2344" w:rsidRPr="00D424AF" w:rsidRDefault="00B02344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62B3C">
          <w:rPr>
            <w:noProof/>
            <w:sz w:val="20"/>
            <w:szCs w:val="20"/>
          </w:rPr>
          <w:t>21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7410231"/>
    <w:multiLevelType w:val="hybridMultilevel"/>
    <w:tmpl w:val="21F65F28"/>
    <w:lvl w:ilvl="0" w:tplc="530A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95FBB"/>
    <w:multiLevelType w:val="hybridMultilevel"/>
    <w:tmpl w:val="02745AB8"/>
    <w:lvl w:ilvl="0" w:tplc="1B58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05793C"/>
    <w:multiLevelType w:val="hybridMultilevel"/>
    <w:tmpl w:val="9D52D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C27A32"/>
    <w:multiLevelType w:val="hybridMultilevel"/>
    <w:tmpl w:val="14FC572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47D"/>
    <w:multiLevelType w:val="hybridMultilevel"/>
    <w:tmpl w:val="2BC6B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7B40035"/>
    <w:multiLevelType w:val="hybridMultilevel"/>
    <w:tmpl w:val="5526F1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F1C99"/>
    <w:multiLevelType w:val="hybridMultilevel"/>
    <w:tmpl w:val="38546D88"/>
    <w:lvl w:ilvl="0" w:tplc="533454DE">
      <w:start w:val="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156E7"/>
    <w:multiLevelType w:val="hybridMultilevel"/>
    <w:tmpl w:val="C7A20960"/>
    <w:lvl w:ilvl="0" w:tplc="F7AE8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1A4F78"/>
    <w:multiLevelType w:val="hybridMultilevel"/>
    <w:tmpl w:val="54A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30A3"/>
    <w:multiLevelType w:val="hybridMultilevel"/>
    <w:tmpl w:val="CF4EA1DA"/>
    <w:lvl w:ilvl="0" w:tplc="37840C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463BA"/>
    <w:multiLevelType w:val="hybridMultilevel"/>
    <w:tmpl w:val="BDAAA718"/>
    <w:lvl w:ilvl="0" w:tplc="F126BE6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4F5E4E"/>
    <w:multiLevelType w:val="hybridMultilevel"/>
    <w:tmpl w:val="916439F6"/>
    <w:lvl w:ilvl="0" w:tplc="466AB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430CB"/>
    <w:multiLevelType w:val="hybridMultilevel"/>
    <w:tmpl w:val="295E44EE"/>
    <w:lvl w:ilvl="0" w:tplc="CEB45D8A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9"/>
  </w:num>
  <w:num w:numId="4">
    <w:abstractNumId w:val="11"/>
  </w:num>
  <w:num w:numId="5">
    <w:abstractNumId w:val="15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A7"/>
    <w:rsid w:val="000429FC"/>
    <w:rsid w:val="00070E46"/>
    <w:rsid w:val="00077080"/>
    <w:rsid w:val="00093E83"/>
    <w:rsid w:val="000C5399"/>
    <w:rsid w:val="0013046A"/>
    <w:rsid w:val="00145E65"/>
    <w:rsid w:val="00156BD5"/>
    <w:rsid w:val="001734EA"/>
    <w:rsid w:val="001930EF"/>
    <w:rsid w:val="001A30FD"/>
    <w:rsid w:val="001D226B"/>
    <w:rsid w:val="001F5CB8"/>
    <w:rsid w:val="00215D34"/>
    <w:rsid w:val="002479BF"/>
    <w:rsid w:val="002566D2"/>
    <w:rsid w:val="002627CD"/>
    <w:rsid w:val="00265A49"/>
    <w:rsid w:val="00297C63"/>
    <w:rsid w:val="002B565E"/>
    <w:rsid w:val="002E22CC"/>
    <w:rsid w:val="003224F1"/>
    <w:rsid w:val="003311E7"/>
    <w:rsid w:val="003414E9"/>
    <w:rsid w:val="003648CC"/>
    <w:rsid w:val="00385A9B"/>
    <w:rsid w:val="00391653"/>
    <w:rsid w:val="003E2595"/>
    <w:rsid w:val="003E689A"/>
    <w:rsid w:val="004043F8"/>
    <w:rsid w:val="004441C6"/>
    <w:rsid w:val="004F3970"/>
    <w:rsid w:val="00503B30"/>
    <w:rsid w:val="00514C92"/>
    <w:rsid w:val="00530DDE"/>
    <w:rsid w:val="0055040A"/>
    <w:rsid w:val="00555DB1"/>
    <w:rsid w:val="0056401D"/>
    <w:rsid w:val="005675A7"/>
    <w:rsid w:val="00590934"/>
    <w:rsid w:val="005A690F"/>
    <w:rsid w:val="005B0CF7"/>
    <w:rsid w:val="005C2C05"/>
    <w:rsid w:val="005D7EBF"/>
    <w:rsid w:val="005E2C49"/>
    <w:rsid w:val="005F2558"/>
    <w:rsid w:val="00632D88"/>
    <w:rsid w:val="006376FB"/>
    <w:rsid w:val="00643426"/>
    <w:rsid w:val="00645899"/>
    <w:rsid w:val="00674975"/>
    <w:rsid w:val="006757BB"/>
    <w:rsid w:val="006A743E"/>
    <w:rsid w:val="006B1577"/>
    <w:rsid w:val="006F5A64"/>
    <w:rsid w:val="007059EF"/>
    <w:rsid w:val="00762B3C"/>
    <w:rsid w:val="00765012"/>
    <w:rsid w:val="007A2C16"/>
    <w:rsid w:val="007A6477"/>
    <w:rsid w:val="007A7339"/>
    <w:rsid w:val="007D2B57"/>
    <w:rsid w:val="007E4424"/>
    <w:rsid w:val="007F5B20"/>
    <w:rsid w:val="008009E7"/>
    <w:rsid w:val="00803407"/>
    <w:rsid w:val="0081116F"/>
    <w:rsid w:val="0081348C"/>
    <w:rsid w:val="00876BB9"/>
    <w:rsid w:val="008A192E"/>
    <w:rsid w:val="008A64CA"/>
    <w:rsid w:val="008A66F1"/>
    <w:rsid w:val="008C26BC"/>
    <w:rsid w:val="008D6922"/>
    <w:rsid w:val="008F5360"/>
    <w:rsid w:val="00987D20"/>
    <w:rsid w:val="009A1C08"/>
    <w:rsid w:val="009B65D8"/>
    <w:rsid w:val="009D360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79E1"/>
    <w:rsid w:val="00B02344"/>
    <w:rsid w:val="00B06787"/>
    <w:rsid w:val="00B371AD"/>
    <w:rsid w:val="00B44ABF"/>
    <w:rsid w:val="00B626D1"/>
    <w:rsid w:val="00B74228"/>
    <w:rsid w:val="00BA58CF"/>
    <w:rsid w:val="00BA7099"/>
    <w:rsid w:val="00C04801"/>
    <w:rsid w:val="00C24A6E"/>
    <w:rsid w:val="00C27EEE"/>
    <w:rsid w:val="00D424AF"/>
    <w:rsid w:val="00D47BC5"/>
    <w:rsid w:val="00D9248D"/>
    <w:rsid w:val="00DF72B6"/>
    <w:rsid w:val="00E05DD8"/>
    <w:rsid w:val="00E07875"/>
    <w:rsid w:val="00E158F6"/>
    <w:rsid w:val="00E30C6D"/>
    <w:rsid w:val="00E34B2D"/>
    <w:rsid w:val="00E4289A"/>
    <w:rsid w:val="00E510F6"/>
    <w:rsid w:val="00E52CFD"/>
    <w:rsid w:val="00E61906"/>
    <w:rsid w:val="00E67F4B"/>
    <w:rsid w:val="00E71A13"/>
    <w:rsid w:val="00EB1A17"/>
    <w:rsid w:val="00EC748B"/>
    <w:rsid w:val="00EE179F"/>
    <w:rsid w:val="00F107E8"/>
    <w:rsid w:val="00F15209"/>
    <w:rsid w:val="00F35FCF"/>
    <w:rsid w:val="00F41FE1"/>
    <w:rsid w:val="00F5283B"/>
    <w:rsid w:val="00F5631F"/>
    <w:rsid w:val="00F64DEF"/>
    <w:rsid w:val="00F7430C"/>
    <w:rsid w:val="00F8051B"/>
    <w:rsid w:val="00F94D82"/>
    <w:rsid w:val="00FA08DB"/>
    <w:rsid w:val="00FA10F4"/>
    <w:rsid w:val="00FB758C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00D9"/>
  <w15:docId w15:val="{1DCD148B-51F6-4C3B-BAB7-355A56F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10F4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A10F4"/>
    <w:pPr>
      <w:keepNext/>
      <w:jc w:val="left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Body Text Indent"/>
    <w:basedOn w:val="a"/>
    <w:link w:val="af2"/>
    <w:rsid w:val="005675A7"/>
    <w:pPr>
      <w:spacing w:after="120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67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5675A7"/>
    <w:rPr>
      <w:b/>
      <w:bCs/>
    </w:rPr>
  </w:style>
  <w:style w:type="paragraph" w:styleId="af4">
    <w:name w:val="Normal (Web)"/>
    <w:basedOn w:val="a"/>
    <w:link w:val="af5"/>
    <w:uiPriority w:val="99"/>
    <w:rsid w:val="005675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5675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 Spacing"/>
    <w:aliases w:val="Кр. строка"/>
    <w:link w:val="af7"/>
    <w:uiPriority w:val="1"/>
    <w:qFormat/>
    <w:rsid w:val="00567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675A7"/>
    <w:rPr>
      <w:rFonts w:ascii="Calibri" w:eastAsia="Times New Roman" w:hAnsi="Calibri" w:cs="Times New Roman"/>
    </w:rPr>
  </w:style>
  <w:style w:type="character" w:customStyle="1" w:styleId="21">
    <w:name w:val="Основной текст 21 Знак"/>
    <w:link w:val="210"/>
    <w:locked/>
    <w:rsid w:val="005675A7"/>
    <w:rPr>
      <w:sz w:val="28"/>
    </w:rPr>
  </w:style>
  <w:style w:type="paragraph" w:customStyle="1" w:styleId="210">
    <w:name w:val="Основной текст 21"/>
    <w:basedOn w:val="a"/>
    <w:link w:val="21"/>
    <w:rsid w:val="005675A7"/>
    <w:pPr>
      <w:ind w:firstLine="720"/>
    </w:pPr>
    <w:rPr>
      <w:rFonts w:asciiTheme="minorHAnsi" w:hAnsiTheme="minorHAnsi"/>
    </w:rPr>
  </w:style>
  <w:style w:type="character" w:customStyle="1" w:styleId="af5">
    <w:name w:val="Обычный (веб) Знак"/>
    <w:link w:val="af4"/>
    <w:locked/>
    <w:rsid w:val="0056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5675A7"/>
    <w:rPr>
      <w:rFonts w:ascii="Courier New" w:hAnsi="Courier New"/>
      <w:sz w:val="20"/>
    </w:rPr>
  </w:style>
  <w:style w:type="paragraph" w:customStyle="1" w:styleId="22">
    <w:name w:val="Без интервала2"/>
    <w:rsid w:val="005675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Гипертекстовая ссылка"/>
    <w:uiPriority w:val="99"/>
    <w:rsid w:val="00E30C6D"/>
    <w:rPr>
      <w:rFonts w:cs="Times New Roman"/>
      <w:b w:val="0"/>
      <w:color w:val="106BBE"/>
    </w:rPr>
  </w:style>
  <w:style w:type="character" w:styleId="af9">
    <w:name w:val="Hyperlink"/>
    <w:uiPriority w:val="99"/>
    <w:unhideWhenUsed/>
    <w:rsid w:val="00E30C6D"/>
    <w:rPr>
      <w:color w:val="0000FF"/>
      <w:u w:val="single"/>
    </w:rPr>
  </w:style>
  <w:style w:type="paragraph" w:customStyle="1" w:styleId="s1">
    <w:name w:val="s_1"/>
    <w:basedOn w:val="a"/>
    <w:rsid w:val="00E30C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Кр. строка Знак"/>
    <w:link w:val="af6"/>
    <w:uiPriority w:val="1"/>
    <w:locked/>
    <w:rsid w:val="00FA10F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A10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0F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FA10F4"/>
  </w:style>
  <w:style w:type="table" w:styleId="afa">
    <w:name w:val="Table Grid"/>
    <w:basedOn w:val="a1"/>
    <w:uiPriority w:val="39"/>
    <w:rsid w:val="00FA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"/>
    <w:basedOn w:val="a"/>
    <w:rsid w:val="00FA10F4"/>
    <w:pPr>
      <w:tabs>
        <w:tab w:val="num" w:pos="432"/>
      </w:tabs>
      <w:spacing w:before="120" w:after="160"/>
      <w:ind w:left="432" w:hanging="432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customStyle="1" w:styleId="ConsPlusNonformat">
    <w:name w:val="ConsPlusNonformat"/>
    <w:rsid w:val="00FA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A10F4"/>
  </w:style>
  <w:style w:type="character" w:customStyle="1" w:styleId="FontStyle16">
    <w:name w:val="Font Style16"/>
    <w:uiPriority w:val="99"/>
    <w:rsid w:val="00FA10F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A10F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0F4"/>
    <w:pPr>
      <w:widowControl w:val="0"/>
      <w:autoSpaceDE w:val="0"/>
      <w:autoSpaceDN w:val="0"/>
      <w:adjustRightInd w:val="0"/>
      <w:spacing w:line="275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A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A10F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">
    <w:name w:val="empty"/>
    <w:basedOn w:val="a"/>
    <w:rsid w:val="00FA10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aliases w:val="Знак"/>
    <w:basedOn w:val="a"/>
    <w:rsid w:val="00FA10F4"/>
    <w:pPr>
      <w:ind w:right="175" w:firstLine="708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FA10F4"/>
    <w:pPr>
      <w:ind w:right="175" w:firstLine="360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A10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Знак Знак Знак2"/>
    <w:rsid w:val="00FA10F4"/>
    <w:rPr>
      <w:sz w:val="28"/>
      <w:szCs w:val="24"/>
      <w:lang w:val="ru-RU" w:eastAsia="ru-RU" w:bidi="ar-SA"/>
    </w:rPr>
  </w:style>
  <w:style w:type="character" w:customStyle="1" w:styleId="14">
    <w:name w:val="Знак Знак Знак1"/>
    <w:rsid w:val="00FA10F4"/>
    <w:rPr>
      <w:sz w:val="28"/>
      <w:szCs w:val="24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FA10F4"/>
  </w:style>
  <w:style w:type="paragraph" w:styleId="afe">
    <w:name w:val="footnote text"/>
    <w:basedOn w:val="a"/>
    <w:link w:val="aff"/>
    <w:uiPriority w:val="99"/>
    <w:unhideWhenUsed/>
    <w:rsid w:val="00FA10F4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FA1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FA10F4"/>
    <w:rPr>
      <w:vertAlign w:val="superscript"/>
    </w:rPr>
  </w:style>
  <w:style w:type="character" w:styleId="aff1">
    <w:name w:val="annotation reference"/>
    <w:uiPriority w:val="99"/>
    <w:unhideWhenUsed/>
    <w:rsid w:val="00FA10F4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FA10F4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FA1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FA10F4"/>
    <w:pPr>
      <w:spacing w:after="200"/>
    </w:pPr>
    <w:rPr>
      <w:rFonts w:ascii="Calibri" w:hAnsi="Calibri"/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FA10F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_lr\Desktop\&#1056;&#1040;&#1041;&#1054;&#1063;&#1040;&#1071;\&#1056;&#1077;&#1096;&#1077;&#1085;&#1080;&#1103;%20&#1074;%20&#1088;&#1072;&#1073;&#1086;&#1090;&#1077;\VI\33%20&#1079;&#1072;&#1089;&#1077;&#1076;&#1072;&#1085;&#1080;&#1077;%20&#1044;&#1091;&#1084;&#1099;%20&#1075;&#1086;&#1088;&#1086;&#1076;&#1072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6DCDB97E44D65843D5713F56B9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26873-25DA-467D-BBD3-272693A0BFF7}"/>
      </w:docPartPr>
      <w:docPartBody>
        <w:p w:rsidR="00B6069E" w:rsidRDefault="00355321">
          <w:pPr>
            <w:pStyle w:val="E296DCDB97E44D65843D5713F56B952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1"/>
    <w:rsid w:val="000A44EE"/>
    <w:rsid w:val="002243FA"/>
    <w:rsid w:val="0034299A"/>
    <w:rsid w:val="00355321"/>
    <w:rsid w:val="003E5F69"/>
    <w:rsid w:val="008654AF"/>
    <w:rsid w:val="009D3E52"/>
    <w:rsid w:val="009F64DB"/>
    <w:rsid w:val="00B6069E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296DCDB97E44D65843D5713F56B952F">
    <w:name w:val="E296DCDB97E44D65843D5713F56B952F"/>
  </w:style>
  <w:style w:type="paragraph" w:customStyle="1" w:styleId="836794F4F6444C54A3ADA5017C4C0340">
    <w:name w:val="836794F4F6444C54A3ADA5017C4C0340"/>
  </w:style>
  <w:style w:type="paragraph" w:customStyle="1" w:styleId="8282504460D245A483E5B108FBD83AAA">
    <w:name w:val="8282504460D245A483E5B108FBD83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города.dotx</Template>
  <TotalTime>176</TotalTime>
  <Pages>68</Pages>
  <Words>17176</Words>
  <Characters>97905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Людмила Равильевна</dc:creator>
  <cp:keywords/>
  <dc:description/>
  <cp:lastModifiedBy>Таран Людмила Равильевна</cp:lastModifiedBy>
  <cp:revision>17</cp:revision>
  <cp:lastPrinted>2020-03-26T04:03:00Z</cp:lastPrinted>
  <dcterms:created xsi:type="dcterms:W3CDTF">2020-03-18T08:52:00Z</dcterms:created>
  <dcterms:modified xsi:type="dcterms:W3CDTF">2020-03-27T10:26:00Z</dcterms:modified>
</cp:coreProperties>
</file>