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255" w:rsidRDefault="002F2255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2F2255" w:rsidRDefault="002F2255" w:rsidP="00656C1A">
      <w:pPr>
        <w:spacing w:line="120" w:lineRule="atLeast"/>
        <w:jc w:val="center"/>
        <w:rPr>
          <w:sz w:val="24"/>
          <w:szCs w:val="24"/>
        </w:rPr>
      </w:pPr>
    </w:p>
    <w:p w:rsidR="002F2255" w:rsidRPr="00852378" w:rsidRDefault="002F2255" w:rsidP="00656C1A">
      <w:pPr>
        <w:spacing w:line="120" w:lineRule="atLeast"/>
        <w:jc w:val="center"/>
        <w:rPr>
          <w:sz w:val="10"/>
          <w:szCs w:val="10"/>
        </w:rPr>
      </w:pPr>
    </w:p>
    <w:p w:rsidR="002F2255" w:rsidRDefault="002F2255" w:rsidP="00656C1A">
      <w:pPr>
        <w:spacing w:line="120" w:lineRule="atLeast"/>
        <w:jc w:val="center"/>
        <w:rPr>
          <w:sz w:val="10"/>
          <w:szCs w:val="24"/>
        </w:rPr>
      </w:pPr>
    </w:p>
    <w:p w:rsidR="002F2255" w:rsidRPr="005541F0" w:rsidRDefault="002F225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F2255" w:rsidRDefault="002F225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F2255" w:rsidRPr="005541F0" w:rsidRDefault="002F225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F2255" w:rsidRPr="005649E4" w:rsidRDefault="002F2255" w:rsidP="00656C1A">
      <w:pPr>
        <w:spacing w:line="120" w:lineRule="atLeast"/>
        <w:jc w:val="center"/>
        <w:rPr>
          <w:sz w:val="18"/>
          <w:szCs w:val="24"/>
        </w:rPr>
      </w:pPr>
    </w:p>
    <w:p w:rsidR="002F2255" w:rsidRPr="00656C1A" w:rsidRDefault="002F225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F2255" w:rsidRPr="005541F0" w:rsidRDefault="002F2255" w:rsidP="00656C1A">
      <w:pPr>
        <w:spacing w:line="120" w:lineRule="atLeast"/>
        <w:jc w:val="center"/>
        <w:rPr>
          <w:sz w:val="18"/>
          <w:szCs w:val="24"/>
        </w:rPr>
      </w:pPr>
    </w:p>
    <w:p w:rsidR="002F2255" w:rsidRPr="005541F0" w:rsidRDefault="002F2255" w:rsidP="00656C1A">
      <w:pPr>
        <w:spacing w:line="120" w:lineRule="atLeast"/>
        <w:jc w:val="center"/>
        <w:rPr>
          <w:sz w:val="20"/>
          <w:szCs w:val="24"/>
        </w:rPr>
      </w:pPr>
    </w:p>
    <w:p w:rsidR="002F2255" w:rsidRPr="00656C1A" w:rsidRDefault="002F2255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2F2255" w:rsidRDefault="002F2255" w:rsidP="00656C1A">
      <w:pPr>
        <w:spacing w:line="120" w:lineRule="atLeast"/>
        <w:jc w:val="center"/>
        <w:rPr>
          <w:sz w:val="30"/>
          <w:szCs w:val="24"/>
        </w:rPr>
      </w:pPr>
    </w:p>
    <w:p w:rsidR="002F2255" w:rsidRPr="00656C1A" w:rsidRDefault="002F2255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2F2255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F2255" w:rsidRPr="00F8214F" w:rsidRDefault="002F225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F2255" w:rsidRPr="00F8214F" w:rsidRDefault="00C53AD7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F2255" w:rsidRPr="00F8214F" w:rsidRDefault="002F225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F2255" w:rsidRPr="00F8214F" w:rsidRDefault="00C53AD7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2F2255" w:rsidRPr="00A63FB0" w:rsidRDefault="002F225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F2255" w:rsidRPr="00A3761A" w:rsidRDefault="00C53AD7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2F2255" w:rsidRPr="00F8214F" w:rsidRDefault="002F2255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2F2255" w:rsidRPr="00F8214F" w:rsidRDefault="002F2255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2F2255" w:rsidRPr="00AB4194" w:rsidRDefault="002F225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2F2255" w:rsidRPr="00F8214F" w:rsidRDefault="00C53AD7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463</w:t>
            </w:r>
          </w:p>
        </w:tc>
      </w:tr>
    </w:tbl>
    <w:p w:rsidR="002F2255" w:rsidRPr="000C4AB5" w:rsidRDefault="002F2255" w:rsidP="00C725A6">
      <w:pPr>
        <w:rPr>
          <w:rFonts w:cs="Times New Roman"/>
          <w:szCs w:val="28"/>
          <w:lang w:val="en-US"/>
        </w:rPr>
      </w:pPr>
    </w:p>
    <w:p w:rsidR="002F2255" w:rsidRPr="002F2255" w:rsidRDefault="002F2255" w:rsidP="002F2255">
      <w:pPr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О внесении изменений в устав </w:t>
      </w:r>
    </w:p>
    <w:p w:rsidR="002F2255" w:rsidRPr="002F2255" w:rsidRDefault="002F2255" w:rsidP="002F2255">
      <w:pPr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муниципального казенного учреждения </w:t>
      </w:r>
    </w:p>
    <w:p w:rsidR="002F2255" w:rsidRPr="002F2255" w:rsidRDefault="002F2255" w:rsidP="002F2255">
      <w:pPr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«Управление дошкольными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</w:t>
      </w:r>
    </w:p>
    <w:p w:rsidR="002F2255" w:rsidRPr="002F2255" w:rsidRDefault="002F2255" w:rsidP="002F2255">
      <w:pPr>
        <w:rPr>
          <w:rFonts w:eastAsia="Calibri" w:cs="Times New Roman"/>
          <w:color w:val="000000"/>
          <w:sz w:val="27"/>
          <w:szCs w:val="28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образовательными учреждениями</w:t>
      </w:r>
      <w:r w:rsidRPr="002F2255">
        <w:rPr>
          <w:rFonts w:eastAsia="Calibri" w:cs="Times New Roman"/>
          <w:color w:val="000000"/>
          <w:sz w:val="27"/>
          <w:szCs w:val="28"/>
        </w:rPr>
        <w:t>»</w:t>
      </w:r>
    </w:p>
    <w:p w:rsidR="002F2255" w:rsidRDefault="002F2255" w:rsidP="002F2255">
      <w:pPr>
        <w:ind w:firstLine="567"/>
        <w:jc w:val="both"/>
        <w:rPr>
          <w:rFonts w:eastAsia="Calibri" w:cs="Times New Roman"/>
          <w:color w:val="000000"/>
          <w:sz w:val="27"/>
          <w:szCs w:val="28"/>
        </w:rPr>
      </w:pPr>
    </w:p>
    <w:p w:rsidR="002F2255" w:rsidRPr="002F2255" w:rsidRDefault="002F2255" w:rsidP="002F2255">
      <w:pPr>
        <w:ind w:firstLine="567"/>
        <w:jc w:val="both"/>
        <w:rPr>
          <w:rFonts w:eastAsia="Calibri" w:cs="Times New Roman"/>
          <w:color w:val="000000"/>
          <w:sz w:val="27"/>
          <w:szCs w:val="28"/>
        </w:rPr>
      </w:pP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В соответствии со статьей 52 Гражданского кодекса Российской Федерации, Уставом муниципального образования городской округ Сургут Ханты-Мансийского автономного округа – Югры, распоряжениями Администрации города от 30.12.2005 № 3686 «Об утверждении Регламента Администрации города»,</w:t>
      </w:r>
      <w:r w:rsidR="0043311C">
        <w:rPr>
          <w:rFonts w:eastAsia="Times New Roman" w:cs="Times New Roman"/>
          <w:bCs/>
          <w:color w:val="000000"/>
          <w:sz w:val="27"/>
          <w:szCs w:val="28"/>
          <w:lang w:eastAsia="ru-RU"/>
        </w:rPr>
        <w:br/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от 10.01.2017 № 01 «О передаче некоторых полномочий высшим должностным лицам Администрации города»: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1. Внести в устав муниципального казенного учреждения «Управление дошкольными образовательными учреждениями» следующие изменения: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1.1. В пунктах 2.3, 2.5 раздела 2, пункте 5.1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, 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подпункте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5.2.3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пункта 5.2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,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подпунктах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5.3.1, 5.3.2 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пункта 5.3 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раздела 5, </w:t>
      </w:r>
      <w:r w:rsidR="002B2B35">
        <w:rPr>
          <w:rFonts w:eastAsia="Times New Roman" w:cs="Times New Roman"/>
          <w:bCs/>
          <w:color w:val="000000"/>
          <w:sz w:val="27"/>
          <w:szCs w:val="28"/>
          <w:lang w:eastAsia="ru-RU"/>
        </w:rPr>
        <w:t>абзаце первом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7, пункте 7.1, подпункте 7.2.2.8 пункта 7.2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7, </w:t>
      </w:r>
      <w:r w:rsidR="002B2B35">
        <w:rPr>
          <w:rFonts w:eastAsia="Times New Roman" w:cs="Times New Roman"/>
          <w:bCs/>
          <w:color w:val="000000"/>
          <w:sz w:val="27"/>
          <w:szCs w:val="28"/>
          <w:lang w:eastAsia="ru-RU"/>
        </w:rPr>
        <w:t>абзаце первом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9 слово «учреждение»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</w:t>
      </w:r>
      <w:r w:rsidR="00F92274"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в соответствующих падежах 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заменить словом «управление» в соответствующих падежах. 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1.2. Пункт 1.2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1 изложить в следующей редакции: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«1.2. Учредителем и собственником имущества управления является </w:t>
      </w:r>
      <w:proofErr w:type="spellStart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муници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-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пальное</w:t>
      </w:r>
      <w:proofErr w:type="spellEnd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образование городской округ Сургут Ханты-Мансийского автономного округа – Югры.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Функции и полномочия учредителя возложены на Администрацию города Сургута (далее 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–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учредитель)».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1.3. Пункт 1.3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1 изложить в следующей редакции: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«1.3. Функции и полномочия куратора управления осуществляет департамент образования Администрации города (далее 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–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к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уратор)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в порядке, предусмотренном муниципальным правовым актом Администрации города».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1.4. В пункте 1.6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1 слово «(адрес)» исключить.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1.5. Пункт 1.8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1 изложить в следующей редакции: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«1.8. Управление в своей деятельности руководствуется Конституцией Российской Федерации, законодательством Российской Федерации, указами               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lastRenderedPageBreak/>
        <w:t xml:space="preserve">и распоряжениями Президента Российской Федерации, постановлениями              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                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 и распоряжениями Правительства Российской Федерации, нормативными право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-</w:t>
      </w:r>
      <w:proofErr w:type="spellStart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выми</w:t>
      </w:r>
      <w:proofErr w:type="spellEnd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актами Министерства просвещения Российской Федерации, законодатель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-</w:t>
      </w:r>
      <w:proofErr w:type="spellStart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ством</w:t>
      </w:r>
      <w:proofErr w:type="spellEnd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Ханты-Мансийского автономного округа – Югры, Уставом муниципального образования городской округ Сургут Ханты-Мансийского автономного округа – Югры, муниципальными правовыми актами и настоящим уставом».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1.6. </w:t>
      </w:r>
      <w:r w:rsidR="002B2B3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Абзац первый 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раздела 3 изложить в следующей редакции: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«3. Предмет, цели и виды деятельности управления».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1.7.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 3 дополнить пунктом 3.1</w:t>
      </w:r>
      <w:r w:rsidRPr="002F2255">
        <w:rPr>
          <w:rFonts w:eastAsia="Times New Roman" w:cs="Times New Roman"/>
          <w:bCs/>
          <w:color w:val="000000"/>
          <w:sz w:val="27"/>
          <w:szCs w:val="28"/>
          <w:vertAlign w:val="superscript"/>
          <w:lang w:eastAsia="ru-RU"/>
        </w:rPr>
        <w:t>1</w:t>
      </w:r>
      <w:r w:rsidR="00DD1918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следующего содержания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«3.</w:t>
      </w:r>
      <w:r w:rsidRPr="002B2B35">
        <w:rPr>
          <w:rFonts w:eastAsia="Times New Roman" w:cs="Times New Roman"/>
          <w:bCs/>
          <w:color w:val="000000"/>
          <w:sz w:val="27"/>
          <w:szCs w:val="28"/>
          <w:lang w:eastAsia="ru-RU"/>
        </w:rPr>
        <w:t>1</w:t>
      </w:r>
      <w:r w:rsidRPr="002B2B35">
        <w:rPr>
          <w:rFonts w:eastAsia="Times New Roman" w:cs="Times New Roman"/>
          <w:bCs/>
          <w:color w:val="000000"/>
          <w:sz w:val="27"/>
          <w:szCs w:val="28"/>
          <w:vertAlign w:val="superscript"/>
          <w:lang w:eastAsia="ru-RU"/>
        </w:rPr>
        <w:t>1</w:t>
      </w:r>
      <w:r w:rsidR="002B2B3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. </w:t>
      </w:r>
      <w:r w:rsidRPr="002B2B35">
        <w:rPr>
          <w:rFonts w:eastAsia="Times New Roman" w:cs="Times New Roman"/>
          <w:bCs/>
          <w:color w:val="000000"/>
          <w:sz w:val="27"/>
          <w:szCs w:val="28"/>
          <w:lang w:eastAsia="ru-RU"/>
        </w:rPr>
        <w:t>Предметом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деятельности управления признается деятельность, </w:t>
      </w:r>
      <w:proofErr w:type="spellStart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непос</w:t>
      </w:r>
      <w:r w:rsidR="002B2B35">
        <w:rPr>
          <w:rFonts w:eastAsia="Times New Roman" w:cs="Times New Roman"/>
          <w:bCs/>
          <w:color w:val="000000"/>
          <w:sz w:val="27"/>
          <w:szCs w:val="28"/>
          <w:lang w:eastAsia="ru-RU"/>
        </w:rPr>
        <w:t>-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редственно</w:t>
      </w:r>
      <w:proofErr w:type="spellEnd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направленная на достижение целей, ради которых оно создано».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1.8. Подпункт 3.2.1 пункта 3.2 раздела 3 изложить в следующей редакции: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«3.2.1. Обеспечение реализации предусмотренных законодательством Российской Федерации полномочий учредителя по предоставлению </w:t>
      </w:r>
      <w:proofErr w:type="spellStart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общедоступ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-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ного</w:t>
      </w:r>
      <w:proofErr w:type="spellEnd"/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бесплатного дошкольного образования на территории муниципального образования городской округ Сургут Ханты-Мансийского автономного округа – Югры».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1.9. Подпункт 5.3.8 пункта 5.3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5 признать утратившим силу.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1.10. Подпункт 5.4.1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пункта 5.4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5 изложить в следующей редакции: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«5.4.1. Выполнение функций, предусмотренных разделом 4 устава, в целях обеспечения реализации предусмотренных законодательством Российской Феде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-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рации полномочий учредителя».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1.11. Подпункт 5.4.3 пункта 5.4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5 изложить в следующей редакции: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«5.4.3. Открытость и доступность информации о выполнении функций, предусмотренных разделом 4 устава, с учетом требований законодательства Российской Федерации о защите государственной тайны и персональных данных».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1.12. Подпункты 6.1.5, 6.1.7 пункта 6.1, пункт 6.2, подпункт 6.3.14 пункта 6.3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6 признать утратившими силу.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>1.13. Пункт 7.7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раздела 7 изложить в следующей редакции: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«7.7. Заседания общего собрания проводятся по мере необходимости».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sz w:val="27"/>
          <w:szCs w:val="28"/>
          <w:lang w:eastAsia="ru-RU"/>
        </w:rPr>
      </w:pPr>
      <w:r w:rsidRPr="002F2255">
        <w:rPr>
          <w:rFonts w:eastAsia="Times New Roman" w:cs="Times New Roman"/>
          <w:sz w:val="27"/>
          <w:szCs w:val="28"/>
          <w:lang w:eastAsia="ru-RU"/>
        </w:rPr>
        <w:t>2. Муниципальному казенному учреждению «Управление дошкольными образовательными учреждениями» зарегистрировать изменения в устав</w:t>
      </w:r>
      <w:r>
        <w:rPr>
          <w:rFonts w:eastAsia="Times New Roman" w:cs="Times New Roman"/>
          <w:sz w:val="27"/>
          <w:szCs w:val="28"/>
          <w:lang w:eastAsia="ru-RU"/>
        </w:rPr>
        <w:t xml:space="preserve">                                        </w:t>
      </w:r>
      <w:r w:rsidR="00DD1918">
        <w:rPr>
          <w:rFonts w:eastAsia="Times New Roman" w:cs="Times New Roman"/>
          <w:sz w:val="27"/>
          <w:szCs w:val="28"/>
          <w:lang w:eastAsia="ru-RU"/>
        </w:rPr>
        <w:t xml:space="preserve">учреждения </w:t>
      </w:r>
      <w:r w:rsidRPr="002F2255">
        <w:rPr>
          <w:rFonts w:eastAsia="Times New Roman" w:cs="Times New Roman"/>
          <w:sz w:val="27"/>
          <w:szCs w:val="28"/>
          <w:lang w:eastAsia="ru-RU"/>
        </w:rPr>
        <w:t xml:space="preserve">в Инспекции Федеральной налоговой службы России по городу Сургуту 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Ханты-Мансийского автономного округа – Югры</w:t>
      </w:r>
      <w:r w:rsidRPr="002F2255">
        <w:rPr>
          <w:rFonts w:eastAsia="Times New Roman" w:cs="Times New Roman"/>
          <w:sz w:val="27"/>
          <w:szCs w:val="28"/>
          <w:lang w:eastAsia="ru-RU"/>
        </w:rPr>
        <w:t>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3. Настоящее распоряжение вступает в силу с момента его издания.</w:t>
      </w:r>
    </w:p>
    <w:p w:rsidR="002F2255" w:rsidRPr="002F2255" w:rsidRDefault="002F2255" w:rsidP="002F2255">
      <w:pPr>
        <w:ind w:firstLine="708"/>
        <w:jc w:val="both"/>
        <w:rPr>
          <w:rFonts w:eastAsia="Times New Roman" w:cs="Times New Roman"/>
          <w:sz w:val="27"/>
          <w:szCs w:val="28"/>
          <w:lang w:eastAsia="ru-RU"/>
        </w:rPr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>4. Контроль за выполнением распоряжения возложить на заместителя Главы города, курирующего социальную сферу.</w:t>
      </w:r>
    </w:p>
    <w:p w:rsidR="002F2255" w:rsidRDefault="002F2255" w:rsidP="002F2255">
      <w:pPr>
        <w:spacing w:after="100" w:afterAutospacing="1"/>
        <w:contextualSpacing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</w:p>
    <w:p w:rsidR="002F2255" w:rsidRPr="002F2255" w:rsidRDefault="002F2255" w:rsidP="002F2255">
      <w:pPr>
        <w:spacing w:after="100" w:afterAutospacing="1"/>
        <w:contextualSpacing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</w:p>
    <w:p w:rsidR="002F2255" w:rsidRPr="002F2255" w:rsidRDefault="002F2255" w:rsidP="002F2255">
      <w:pPr>
        <w:spacing w:after="100" w:afterAutospacing="1"/>
        <w:contextualSpacing/>
        <w:jc w:val="both"/>
        <w:rPr>
          <w:rFonts w:eastAsia="Times New Roman" w:cs="Times New Roman"/>
          <w:bCs/>
          <w:color w:val="000000"/>
          <w:sz w:val="27"/>
          <w:szCs w:val="28"/>
          <w:lang w:eastAsia="ru-RU"/>
        </w:rPr>
      </w:pPr>
    </w:p>
    <w:p w:rsidR="00EE2AB4" w:rsidRPr="002F2255" w:rsidRDefault="002F2255" w:rsidP="002F2255">
      <w:pPr>
        <w:jc w:val="both"/>
      </w:pP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Заместитель Главы города               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         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           </w:t>
      </w:r>
      <w:r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 </w:t>
      </w:r>
      <w:r w:rsidRPr="002F2255">
        <w:rPr>
          <w:rFonts w:eastAsia="Times New Roman" w:cs="Times New Roman"/>
          <w:bCs/>
          <w:color w:val="000000"/>
          <w:sz w:val="27"/>
          <w:szCs w:val="28"/>
          <w:lang w:eastAsia="ru-RU"/>
        </w:rPr>
        <w:t xml:space="preserve">                                        Н.Н. Кривцов</w:t>
      </w:r>
    </w:p>
    <w:sectPr w:rsidR="00EE2AB4" w:rsidRPr="002F2255" w:rsidSect="002F2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9B" w:rsidRDefault="00F42F9B">
      <w:r>
        <w:separator/>
      </w:r>
    </w:p>
  </w:endnote>
  <w:endnote w:type="continuationSeparator" w:id="0">
    <w:p w:rsidR="00F42F9B" w:rsidRDefault="00F4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53A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53AD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53A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9B" w:rsidRDefault="00F42F9B">
      <w:r>
        <w:separator/>
      </w:r>
    </w:p>
  </w:footnote>
  <w:footnote w:type="continuationSeparator" w:id="0">
    <w:p w:rsidR="00F42F9B" w:rsidRDefault="00F4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53A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525176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53AD7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C53A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53A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55"/>
    <w:rsid w:val="002300BF"/>
    <w:rsid w:val="002622DB"/>
    <w:rsid w:val="002B2B35"/>
    <w:rsid w:val="002F2255"/>
    <w:rsid w:val="003B2479"/>
    <w:rsid w:val="0043311C"/>
    <w:rsid w:val="00525176"/>
    <w:rsid w:val="0058313E"/>
    <w:rsid w:val="005D3688"/>
    <w:rsid w:val="0060034C"/>
    <w:rsid w:val="006B6893"/>
    <w:rsid w:val="0072185B"/>
    <w:rsid w:val="00897472"/>
    <w:rsid w:val="00C53AD7"/>
    <w:rsid w:val="00CE6421"/>
    <w:rsid w:val="00DD1918"/>
    <w:rsid w:val="00EE2AB4"/>
    <w:rsid w:val="00F42F9B"/>
    <w:rsid w:val="00F92274"/>
    <w:rsid w:val="00FC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51C2B-3A18-4F03-961E-87F40C53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2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F22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225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F22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2255"/>
    <w:rPr>
      <w:rFonts w:ascii="Times New Roman" w:hAnsi="Times New Roman"/>
      <w:sz w:val="28"/>
    </w:rPr>
  </w:style>
  <w:style w:type="character" w:styleId="a8">
    <w:name w:val="page number"/>
    <w:basedOn w:val="a0"/>
    <w:rsid w:val="002F2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8FCF-8E96-4D04-B758-A14A9F38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2021-04-05T08:37:00Z</cp:lastPrinted>
  <dcterms:created xsi:type="dcterms:W3CDTF">2021-04-07T11:39:00Z</dcterms:created>
  <dcterms:modified xsi:type="dcterms:W3CDTF">2021-04-07T11:39:00Z</dcterms:modified>
</cp:coreProperties>
</file>