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284" w:type="dxa"/>
        <w:tblLook w:val="04A0" w:firstRow="1" w:lastRow="0" w:firstColumn="1" w:lastColumn="0" w:noHBand="0" w:noVBand="1"/>
      </w:tblPr>
      <w:tblGrid>
        <w:gridCol w:w="15310"/>
      </w:tblGrid>
      <w:tr w:rsidR="003C6A23" w:rsidRPr="00C37A8D" w:rsidTr="004F32F8">
        <w:trPr>
          <w:trHeight w:val="975"/>
        </w:trPr>
        <w:tc>
          <w:tcPr>
            <w:tcW w:w="15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A23" w:rsidRPr="00C37A8D" w:rsidRDefault="00F74255" w:rsidP="004F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О</w:t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 xml:space="preserve">тчет </w:t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плана мероприятий </w:t>
            </w:r>
          </w:p>
          <w:p w:rsidR="003C6A23" w:rsidRPr="00C37A8D" w:rsidRDefault="003C6A23" w:rsidP="004F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(«дорожн</w:t>
            </w:r>
            <w:r w:rsidR="00E953AE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карт</w:t>
            </w:r>
            <w:r w:rsidR="00E953AE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») по поддержке доступа немуниципальных организаций (коммерческих, некоммерческих), индивидуальных предпринимателей, к предоставлению услуг в социальной сфере </w:t>
            </w:r>
          </w:p>
          <w:p w:rsidR="0017239B" w:rsidRDefault="003C6A23" w:rsidP="0017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территории города Сургута на 2021-2025 годы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установленн</w:t>
            </w:r>
            <w:r w:rsidR="00E953AE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постановление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 Администрации города </w:t>
            </w:r>
            <w:r w:rsidR="005B5B71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19.03.2021 № 410 «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утверждении плана мероприятий («дорожная карта»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нию услуг в социальной сфере на 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территории гор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ода Сургута на 2021 - 2025 годы</w:t>
            </w:r>
            <w:r w:rsidR="00172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(с изменениями от 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762D9F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  <w:r w:rsidR="00D425A9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22CD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859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17239B" w:rsidRPr="00C37A8D" w:rsidRDefault="00F74255" w:rsidP="0017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239B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 </w:t>
            </w:r>
            <w:r w:rsidR="00DF5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I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56F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полугодие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239B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7239B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3C6A23" w:rsidRPr="00C37A8D" w:rsidRDefault="003C6A23" w:rsidP="007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</w:tr>
      <w:tr w:rsidR="003C6A23" w:rsidRPr="00C37A8D" w:rsidTr="008752E6">
        <w:trPr>
          <w:trHeight w:val="780"/>
        </w:trPr>
        <w:tc>
          <w:tcPr>
            <w:tcW w:w="153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A23" w:rsidRPr="00C37A8D" w:rsidRDefault="003C6A23" w:rsidP="004F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6A23" w:rsidRPr="00C37A8D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980"/>
        <w:gridCol w:w="2824"/>
        <w:gridCol w:w="5980"/>
      </w:tblGrid>
      <w:tr w:rsidR="003C6A23" w:rsidRPr="00C37A8D" w:rsidTr="00E20AF4">
        <w:tc>
          <w:tcPr>
            <w:tcW w:w="776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80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24" w:type="dxa"/>
            <w:vAlign w:val="center"/>
          </w:tcPr>
          <w:p w:rsidR="003C6A23" w:rsidRPr="00C37A8D" w:rsidRDefault="005B5B71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C6A23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 исполнения</w:t>
            </w:r>
          </w:p>
        </w:tc>
        <w:tc>
          <w:tcPr>
            <w:tcW w:w="5980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</w:tr>
      <w:tr w:rsidR="003C6A23" w:rsidRPr="00C37A8D" w:rsidTr="00FE2D99">
        <w:tc>
          <w:tcPr>
            <w:tcW w:w="776" w:type="dxa"/>
            <w:shd w:val="clear" w:color="auto" w:fill="FFF2CC" w:themeFill="accent4" w:themeFillTint="33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84" w:type="dxa"/>
            <w:gridSpan w:val="3"/>
            <w:shd w:val="clear" w:color="auto" w:fill="FFF2CC" w:themeFill="accent4" w:themeFillTint="33"/>
            <w:vAlign w:val="center"/>
          </w:tcPr>
          <w:p w:rsidR="003C6A23" w:rsidRPr="00C37A8D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нормативной правовой базы по обеспечению доступа немуниципальных организаций, в том числе социально ориентированных некоммерческих организаций, инд</w:t>
            </w:r>
            <w:r w:rsidR="00F8143F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ивидуальных предпринимателей, к 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предоставлению услуг в социальной сфере</w:t>
            </w:r>
          </w:p>
        </w:tc>
      </w:tr>
      <w:tr w:rsidR="003C6A23" w:rsidRPr="00C37A8D" w:rsidTr="00E20AF4">
        <w:tc>
          <w:tcPr>
            <w:tcW w:w="776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80" w:type="dxa"/>
            <w:vAlign w:val="center"/>
          </w:tcPr>
          <w:p w:rsidR="003C6A23" w:rsidRPr="00C37A8D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реестра поставщиков услуг социальной сферы, включая немуниципальные организации, индивидуальных предпринимателей, в том числе социально ориентированные некоммерческие организации</w:t>
            </w:r>
          </w:p>
        </w:tc>
        <w:tc>
          <w:tcPr>
            <w:tcW w:w="2824" w:type="dxa"/>
            <w:vAlign w:val="center"/>
          </w:tcPr>
          <w:p w:rsidR="003C6A23" w:rsidRPr="00C37A8D" w:rsidRDefault="003C6A23" w:rsidP="00AB1B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01.04.202</w:t>
            </w:r>
            <w:r w:rsidR="00AB1B44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ежегодно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01 марта</w:t>
            </w:r>
          </w:p>
        </w:tc>
        <w:tc>
          <w:tcPr>
            <w:tcW w:w="5980" w:type="dxa"/>
            <w:vMerge w:val="restart"/>
          </w:tcPr>
          <w:p w:rsidR="006B5478" w:rsidRPr="00E933DF" w:rsidRDefault="006B5478" w:rsidP="006B54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Актуальная информация о деятельности поставщиков услуг в социальной сфере, перечень услуг,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организациям, индивидуальным предпринимателям, в том числе социально ориентированным некоммерческим организациям размещены на официальном портале Администрации города Сургута </w:t>
            </w:r>
            <w:r w:rsidRPr="00E9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слайдере «Социальные услуги».</w:t>
            </w:r>
          </w:p>
          <w:p w:rsidR="006B5478" w:rsidRPr="00E933DF" w:rsidRDefault="006B5478" w:rsidP="006B54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Ссылка:</w:t>
            </w:r>
          </w:p>
          <w:p w:rsidR="00D425A9" w:rsidRPr="00C37A8D" w:rsidRDefault="007843D8" w:rsidP="006B54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https://admsurgut.ru/rubric/21984/Podderzhka-dostupa-nemunicipalnyh-organizaciy-k-predostavleniyu-uslug-v-socialnoy-sfere</w:t>
            </w:r>
          </w:p>
        </w:tc>
      </w:tr>
      <w:tr w:rsidR="003C6A23" w:rsidRPr="00C37A8D" w:rsidTr="00E20AF4">
        <w:tc>
          <w:tcPr>
            <w:tcW w:w="776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80" w:type="dxa"/>
            <w:vAlign w:val="center"/>
          </w:tcPr>
          <w:p w:rsidR="003C6A23" w:rsidRPr="00C37A8D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перечня услуг,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организациям, индивидуальным предпринимателям, в том числе социально ориентированным некоммерческим организациям, а также размещение указанного перечня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официальном портале Администрации города</w:t>
            </w:r>
          </w:p>
        </w:tc>
        <w:tc>
          <w:tcPr>
            <w:tcW w:w="2824" w:type="dxa"/>
            <w:vAlign w:val="center"/>
          </w:tcPr>
          <w:p w:rsidR="003C6A23" w:rsidRPr="00C37A8D" w:rsidRDefault="003C6A23" w:rsidP="00AB1B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 01.04.202</w:t>
            </w:r>
            <w:r w:rsidR="00AB1B44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ежегодно,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позднее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 декабря текущего года</w:t>
            </w:r>
          </w:p>
        </w:tc>
        <w:tc>
          <w:tcPr>
            <w:tcW w:w="5980" w:type="dxa"/>
            <w:vMerge/>
          </w:tcPr>
          <w:p w:rsidR="003C6A23" w:rsidRPr="00C37A8D" w:rsidRDefault="003C6A23" w:rsidP="003C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нормативных правовых актов, регулирующих взаимодействие участи</w:t>
            </w:r>
            <w:r w:rsidR="00C1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субъектов малого и среднего предпринимательства, социально ориентированных некоммерческих организаций в передаче им части услуг в сфере физической культуры и спорта на предмет выявления </w:t>
            </w:r>
          </w:p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устранения административных барьеров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80" w:type="dxa"/>
            <w:vAlign w:val="center"/>
          </w:tcPr>
          <w:p w:rsidR="00476711" w:rsidRPr="00E933DF" w:rsidRDefault="00476711" w:rsidP="00476711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933D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Утверждены порядки предоставления субсидий:</w:t>
            </w:r>
          </w:p>
          <w:p w:rsidR="00476711" w:rsidRPr="00E933DF" w:rsidRDefault="00476711" w:rsidP="00476711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933D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- постановление Администрации города от 13.12.2022 № 10129 «О порядке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города»</w:t>
            </w:r>
            <w:r w:rsidR="00E933DF" w:rsidRPr="00E933D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(с изменениями от 17.05.2023 № 2515)</w:t>
            </w:r>
            <w:r w:rsidRPr="00E933D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; </w:t>
            </w:r>
          </w:p>
          <w:p w:rsidR="005E327B" w:rsidRPr="00B56FD9" w:rsidRDefault="00476711" w:rsidP="00E933DF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3D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- постановление Администрации города от 23.11.2022 № 9165 «О порядке предоставления субсидий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спорта»</w:t>
            </w:r>
            <w:r w:rsidR="00E933DF" w:rsidRPr="00E933D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(с изменениями от 17.05.2023 № 2519)</w:t>
            </w: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комплексного анализа оказания и потребности населения в услугах сферы физической культуры и спорта, предоставляемых муниципальными организациями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80" w:type="dxa"/>
            <w:vAlign w:val="center"/>
          </w:tcPr>
          <w:p w:rsidR="00703D0C" w:rsidRPr="009C5440" w:rsidRDefault="00B4581B" w:rsidP="00B45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 анализ оказания и потребности населения в услугах сферы физической культуры и спорта, предоставляемых муниципальными организациями. </w:t>
            </w:r>
          </w:p>
          <w:p w:rsidR="00B4581B" w:rsidRPr="009C5440" w:rsidRDefault="00B4581B" w:rsidP="00B45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Дополнение новыми работами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</w:t>
            </w:r>
            <w:r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немуниципальным учреждениям, в том числе социально ориентированным</w:t>
            </w:r>
          </w:p>
          <w:p w:rsidR="00B4581B" w:rsidRPr="009C5440" w:rsidRDefault="00B4581B" w:rsidP="00B45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некоммерческим организациям, </w:t>
            </w:r>
          </w:p>
          <w:p w:rsidR="00C71663" w:rsidRPr="00B56FD9" w:rsidRDefault="00B4581B" w:rsidP="009C544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индивидуальным предпринимателям</w:t>
            </w:r>
            <w:r w:rsidR="00105168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Администрации города от  01.03.2017 № 288</w:t>
            </w:r>
            <w:r w:rsidR="00441182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</w:t>
            </w:r>
            <w:r w:rsidR="00703D0C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5440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41182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C5440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441182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703D0C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5440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41182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9C5440"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  <w:r w:rsidRPr="009C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не требуется</w:t>
            </w: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перечня услуг в сфере физической культуры и спорта, которые могут быть переданы на исполнение немуниципальным поставщикам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до 01 июня</w:t>
            </w:r>
          </w:p>
        </w:tc>
        <w:tc>
          <w:tcPr>
            <w:tcW w:w="5980" w:type="dxa"/>
            <w:vAlign w:val="center"/>
          </w:tcPr>
          <w:p w:rsidR="00981135" w:rsidRPr="00981135" w:rsidRDefault="00FA71E0" w:rsidP="00BE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основании проведенного анализа перечня услуг в сфере физической культуры и спорта, которые могут быть переданы на исполнение немуниципальным поставщикам, по состоянию на </w:t>
            </w:r>
            <w:r w:rsidR="00981135"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E184A"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B0B00"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E184A"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AB0B00"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E1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актуализация перечня услуг не требуется</w:t>
            </w:r>
          </w:p>
        </w:tc>
      </w:tr>
      <w:tr w:rsidR="00FE2D99" w:rsidRPr="00C37A8D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взаимодействия и информационно-консультационной поддержки с немуниципальными организациями (коммерческими, некоммерческими), индивидуальными предпринимателями, оказывающими услуги в социальной сфере</w:t>
            </w: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80" w:type="dxa"/>
          </w:tcPr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семинаров, совещаний,</w:t>
            </w:r>
            <w:r w:rsidR="00D02730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круглых столов для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немуниципальных организаций, в том числе социально ориентированных некоммерческих организаций, индивидуальных предпринимателей, предоставляющих услуги в социальной сфере</w:t>
            </w:r>
          </w:p>
          <w:p w:rsidR="00DE5542" w:rsidRDefault="00DE5542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5542" w:rsidRPr="00C37A8D" w:rsidRDefault="00DE5542" w:rsidP="00DE5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  <w:vAlign w:val="center"/>
          </w:tcPr>
          <w:p w:rsidR="00A62A4F" w:rsidRPr="00836EAF" w:rsidRDefault="00867DEE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сфере предпринимательства:</w:t>
            </w:r>
          </w:p>
          <w:p w:rsidR="00867DEE" w:rsidRPr="00836EAF" w:rsidRDefault="00867DEE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на постоянной основе </w:t>
            </w:r>
            <w:r w:rsidR="00ED32B9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семинаров, </w:t>
            </w:r>
            <w:proofErr w:type="spellStart"/>
            <w:r w:rsidR="00ED32B9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="00ED32B9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иных мероприятий,</w:t>
            </w: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которых рассматриваются вопросы о существующих мерах поддержки субъектов МСП, в том числе социальных предпринимателей.</w:t>
            </w:r>
          </w:p>
          <w:p w:rsidR="00DD732B" w:rsidRPr="00836EAF" w:rsidRDefault="00F236D6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  <w:r w:rsidR="00DD732B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проведено </w:t>
            </w:r>
            <w:r w:rsidR="00D80075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61DA5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0075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867DEE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52C5" w:rsidRPr="00836EAF" w:rsidRDefault="00D80075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04.03.2023 по 26.05.2023 проведен </w:t>
            </w:r>
            <w:r w:rsidR="009E52C5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двенадцатый</w:t>
            </w:r>
            <w:r w:rsidR="00CF2F25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ежегодный обучающий курс «Школа социального предпринимательства»</w:t>
            </w: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F2F25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участниками которого стали 16 </w:t>
            </w:r>
            <w:proofErr w:type="spellStart"/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сургутских</w:t>
            </w:r>
            <w:proofErr w:type="spellEnd"/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предпринимателей.</w:t>
            </w:r>
          </w:p>
          <w:p w:rsidR="003F15EE" w:rsidRPr="00836EAF" w:rsidRDefault="00867DEE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еженедельно по пятницам проводятся единые консультационные дни для предпринимателей в форм</w:t>
            </w:r>
            <w:r w:rsidR="00C75A18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 «горячей линии»</w:t>
            </w: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D3AE4" w:rsidRPr="00836EAF" w:rsidRDefault="00DD3AE4" w:rsidP="00DD3AE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В сфере </w:t>
            </w:r>
            <w:r w:rsidR="0017239B" w:rsidRPr="00836E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поддержки некоммерческих организаций:</w:t>
            </w:r>
          </w:p>
          <w:p w:rsidR="00836EAF" w:rsidRPr="00836EAF" w:rsidRDefault="00CB2BFB" w:rsidP="00CB2B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D3AE4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</w:t>
            </w:r>
            <w:r w:rsidR="00836EAF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D3AE4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AF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3AE4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</w:t>
            </w:r>
            <w:r w:rsidR="00836EAF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07BA9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3AE4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</w:t>
            </w:r>
            <w:r w:rsidR="00836EAF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D517DF" w:rsidRPr="00836EAF" w:rsidRDefault="00836EAF" w:rsidP="00CB2B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3AE4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07BA9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подготовиться к проверке надзорными органами</w:t>
            </w:r>
            <w:r w:rsidR="00D517DF"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участием 32 человека;</w:t>
            </w:r>
          </w:p>
          <w:p w:rsidR="00D80075" w:rsidRDefault="00836EAF" w:rsidP="00836E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«SMM для СО НКО», с участием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человек</w:t>
            </w:r>
            <w:r w:rsidR="005E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1FB3" w:rsidRPr="00881FB3" w:rsidRDefault="00881FB3" w:rsidP="00881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22 рабочие встречи с участием представителей национально-культурных и религиозных объединений, в том числе заседание Координационного совета по делам национально-культурных автономий и взаимодействию с религиозными объединениями при Главе города. </w:t>
            </w:r>
          </w:p>
          <w:p w:rsidR="00881FB3" w:rsidRPr="00B56FD9" w:rsidRDefault="00881FB3" w:rsidP="00881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Дома дружбы народов проведено 6 мероприятий с участием национально- культурных и общественных организаций </w:t>
            </w:r>
            <w:r w:rsidRPr="008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(семинары-тренинги на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«Искусство </w:t>
            </w:r>
            <w:proofErr w:type="spellStart"/>
            <w:r w:rsidRPr="008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8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«Источники вдохновения для НКО», «Новая заявочная кампания гранта Губернатора Югры»)</w:t>
            </w:r>
          </w:p>
        </w:tc>
      </w:tr>
      <w:tr w:rsidR="00FE2D99" w:rsidRPr="00C37A8D" w:rsidTr="00090D0C">
        <w:tc>
          <w:tcPr>
            <w:tcW w:w="776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организационно-методической, консультационной и информационной поддержки немуниципальным организациям, в том числе социально ориентированным некоммерческим организациям, индивидуальным предпринимателям, оказывающим населению услуги в социальной сфере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</w:tcPr>
          <w:p w:rsidR="00384C85" w:rsidRPr="005B6542" w:rsidRDefault="00090D0C" w:rsidP="00FA7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образования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90D0C" w:rsidRPr="005B6542" w:rsidRDefault="00090D0C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</w:t>
            </w:r>
            <w:r w:rsidR="005B6542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организованных образовательных мероприяти</w:t>
            </w:r>
            <w:r w:rsidR="00804D4A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деятельности негосударственных образовательных организаций в сферах образования, в том числе: </w:t>
            </w:r>
          </w:p>
          <w:p w:rsidR="00090D0C" w:rsidRPr="005B6542" w:rsidRDefault="00090D0C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B6542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</w:t>
            </w:r>
            <w:r w:rsidR="005B6542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организованн</w:t>
            </w:r>
            <w:r w:rsidR="005B6542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деятельности городских методических объединений педагогических работников образовательных учреждений, реализующих 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образовательные программы дошкольного образования;</w:t>
            </w:r>
          </w:p>
          <w:p w:rsidR="00090D0C" w:rsidRPr="005B6542" w:rsidRDefault="00090D0C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843D8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</w:t>
            </w:r>
            <w:r w:rsidR="007843D8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встреч</w:t>
            </w:r>
            <w:r w:rsidR="007843D8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вопросам реализации программ дополнительного образования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090D0C" w:rsidRPr="005B6542" w:rsidRDefault="00090D0C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B6542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консультаций; </w:t>
            </w:r>
          </w:p>
          <w:p w:rsidR="00090D0C" w:rsidRPr="005B6542" w:rsidRDefault="00090D0C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843D8"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B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совещания с представителями негосударственных (немуниципальных) организаций по реализации программ отдыха и оздоровления детей.</w:t>
            </w:r>
          </w:p>
          <w:p w:rsidR="00090D0C" w:rsidRPr="00932255" w:rsidRDefault="004E5444" w:rsidP="00FA7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культуры</w:t>
            </w:r>
            <w:r w:rsidRPr="0093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E5444" w:rsidRPr="00932255" w:rsidRDefault="004E5444" w:rsidP="004E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</w:t>
            </w:r>
            <w:r w:rsidR="00932255" w:rsidRPr="0093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93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 для организаций частной формы собственности и индивидуальных предпринимателей, осуществляющих деятельность в сфере культуры, по вопросам получения субсидии, в том числе социально ориентированных некоммерческих организаций – </w:t>
            </w:r>
            <w:r w:rsidR="00932255" w:rsidRPr="0093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774F00" w:rsidRPr="0093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542C" w:rsidRPr="005E009D" w:rsidRDefault="00865445" w:rsidP="003454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внешних и общественных связей:</w:t>
            </w:r>
          </w:p>
          <w:p w:rsidR="0034542C" w:rsidRPr="005E009D" w:rsidRDefault="001A0F83" w:rsidP="0034542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4542C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официальном портале Администрации города за отчетный период размещено </w:t>
            </w:r>
            <w:r w:rsidR="00436C75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AD6AA9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публикаций</w:t>
            </w:r>
            <w:r w:rsidR="00746E2F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реализованных общественных инициативах, о проводимых мероприятиях и конкурсах для социально ориентированных некоммерческих организаций</w:t>
            </w:r>
            <w:r w:rsidR="00AD6AA9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4542C" w:rsidRPr="005E009D" w:rsidRDefault="00436C75" w:rsidP="0034542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4542C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 разделе «Общественные связи»;</w:t>
            </w:r>
          </w:p>
          <w:p w:rsidR="0034542C" w:rsidRPr="005E009D" w:rsidRDefault="00436C75" w:rsidP="003454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34542C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="0034542C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разделе «СМИ о деятельности НКО»</w:t>
            </w:r>
            <w:r w:rsidR="009A042D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6C75" w:rsidRPr="005E009D" w:rsidRDefault="00436C75" w:rsidP="0034256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организационно-методической, консультационной и информационной поддержки СО НКО города Сургута в рамках проведения заявочной кампании конкурса на </w:t>
            </w: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гранта Губернатора Югры, гранта Фонда Президентских грантов, заявочной кампании на предоставление грантов Президента Российской Федерации на реализацию проектов в области культуры, искусства и креативных (творческих) индустрий.</w:t>
            </w:r>
          </w:p>
          <w:p w:rsidR="00436C75" w:rsidRPr="005E009D" w:rsidRDefault="00436C75" w:rsidP="0034256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методической поддержки СО НКО по вопросу обращения на комиссию по поддержке социально ориентированных некоммерческих организаций при Администрации города </w:t>
            </w:r>
            <w:r w:rsidR="00CB2BFB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количестве – </w:t>
            </w:r>
            <w:r w:rsidR="005E009D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CB2BFB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009D" w:rsidRPr="00B56FD9" w:rsidRDefault="00436C75" w:rsidP="005E009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Консультационная поддержка некоммерческим организациям оказывается по мере поступления обращений. Оказано около </w:t>
            </w:r>
            <w:r w:rsidR="005E009D"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  <w:r w:rsidRPr="005E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</w:t>
            </w:r>
          </w:p>
        </w:tc>
      </w:tr>
      <w:tr w:rsidR="00195C97" w:rsidRPr="00C37A8D" w:rsidTr="00E20AF4">
        <w:tc>
          <w:tcPr>
            <w:tcW w:w="776" w:type="dxa"/>
            <w:vAlign w:val="center"/>
          </w:tcPr>
          <w:p w:rsidR="00195C97" w:rsidRPr="00C37A8D" w:rsidRDefault="00195C97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980" w:type="dxa"/>
            <w:vAlign w:val="center"/>
          </w:tcPr>
          <w:p w:rsidR="00195C97" w:rsidRPr="00C37A8D" w:rsidRDefault="00195C97" w:rsidP="00195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образовательной поддержки субъектам малого и среднего предпринимательства, в том числе социальным предпринимателям посредством проведения образовательного курса «Основы ведения предпринимательской деятельности»</w:t>
            </w:r>
          </w:p>
        </w:tc>
        <w:tc>
          <w:tcPr>
            <w:tcW w:w="2824" w:type="dxa"/>
            <w:vAlign w:val="center"/>
          </w:tcPr>
          <w:p w:rsidR="00195C97" w:rsidRPr="00C37A8D" w:rsidRDefault="00195C97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</w:tcPr>
          <w:p w:rsidR="00197ACC" w:rsidRPr="00B56FD9" w:rsidRDefault="00197ACC" w:rsidP="00B94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«Основы ведения предпринимательской деятельности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рамках текущего финансирования</w:t>
            </w:r>
            <w:r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«Развитие малого 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 в городе С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ургуте на период до 2030 года» запланировано на </w:t>
            </w:r>
            <w:r w:rsidR="00DF594C" w:rsidRPr="00895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9E52C5" w:rsidRPr="0089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2023 года</w:t>
            </w:r>
          </w:p>
        </w:tc>
      </w:tr>
      <w:tr w:rsidR="00195C97" w:rsidRPr="00C37A8D" w:rsidTr="00E20AF4">
        <w:tc>
          <w:tcPr>
            <w:tcW w:w="776" w:type="dxa"/>
            <w:vAlign w:val="center"/>
          </w:tcPr>
          <w:p w:rsidR="00195C97" w:rsidRPr="00C37A8D" w:rsidRDefault="00195C97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980" w:type="dxa"/>
          </w:tcPr>
          <w:p w:rsidR="00195C97" w:rsidRPr="00C37A8D" w:rsidRDefault="00195C97" w:rsidP="00195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информационной кампании по вопросу получения субъектами малого и среднего предпринимательства статуса «социальное предприятие»</w:t>
            </w:r>
          </w:p>
        </w:tc>
        <w:tc>
          <w:tcPr>
            <w:tcW w:w="2824" w:type="dxa"/>
            <w:vAlign w:val="center"/>
          </w:tcPr>
          <w:p w:rsidR="00195C97" w:rsidRPr="00C37A8D" w:rsidRDefault="00BB6DA3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мая ежегодно</w:t>
            </w:r>
          </w:p>
        </w:tc>
        <w:tc>
          <w:tcPr>
            <w:tcW w:w="5980" w:type="dxa"/>
            <w:vAlign w:val="center"/>
          </w:tcPr>
          <w:p w:rsidR="00A73715" w:rsidRPr="00895876" w:rsidRDefault="00A73715" w:rsidP="00A73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Информационные материалы размещены на официальном портале Администрации города,</w:t>
            </w:r>
            <w:r w:rsidR="00B62F2F"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инвестиционном портале города: (</w:t>
            </w:r>
            <w:r w:rsidR="00895876"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http://invest.admsurgut.ru/list_item/1/vse-o-tom-kak-poluchit-status-sotsialnoe-predprinimatelstvo-v-iugre</w:t>
            </w:r>
            <w:r w:rsidR="00B62F2F"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F3D0B"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постоянной основе направляются </w:t>
            </w:r>
            <w:r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хозяйствующим субъектам посредством рассылки электронных писем, публикуются в сообществе для предпринимателей «Инвестируй в Сургут» в мессенджере </w:t>
            </w:r>
            <w:r w:rsidR="00D75E7A"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Telegram</w:t>
            </w:r>
            <w:r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 ежедневном режиме осуществляется точечное телефонное консультирование организаций и индивидуальных предпринимателей, осуществляющих предоставление социальных услуг населению города, в целях повышения уровня заинтересованности</w:t>
            </w:r>
            <w:r w:rsidR="00CC697F"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получении статуса «</w:t>
            </w:r>
            <w:r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предприятие»</w:t>
            </w:r>
            <w:r w:rsidR="00D75E7A"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95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75E7A" w:rsidRPr="00D80075" w:rsidRDefault="00D75E7A" w:rsidP="00D75E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3</w:t>
            </w:r>
            <w:r w:rsidR="00D80075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0637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0075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C0637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 «социальное предприятие» присвоен </w:t>
            </w:r>
            <w:r w:rsidR="007C0637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80075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субъектам малого и среднего предпринимательства.</w:t>
            </w:r>
          </w:p>
          <w:p w:rsidR="00895876" w:rsidRPr="00B56FD9" w:rsidRDefault="00D75E7A" w:rsidP="008958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поддержка оказана всем субъектам малого и среднего предпринимательства, имеющим статус «социальное предприятие», участниками информационных мероприятий стали более </w:t>
            </w:r>
            <w:r w:rsidR="007C0637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из числа социальных предп</w:t>
            </w:r>
            <w:r w:rsidR="001223B6" w:rsidRPr="00D8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ринимателей и их представителей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4980" w:type="dxa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информационной кампании в средствах массовой информации, официальных аккаунтах Администрации города в социальных сетях и на официальном портале по поддержке деятельности немуниципальных организаций в оказании услуг в социальной сфере, в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том числе информирование населения о деятельности немуниципальных организаций (коммерческих, некоммерческих), индивидуальных предпринимателей. оказывающих населению услуги в социальной сфере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</w:tcPr>
          <w:p w:rsidR="00FB19A2" w:rsidRPr="00727FAA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Размещено </w:t>
            </w:r>
            <w:r w:rsidR="00727FAA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</w:t>
            </w:r>
            <w:r w:rsidR="00727FAA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из них: </w:t>
            </w:r>
          </w:p>
          <w:p w:rsidR="00FB19A2" w:rsidRPr="00727FAA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СМИ - </w:t>
            </w:r>
            <w:r w:rsidR="00727FAA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FB19A2" w:rsidRPr="00727FAA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официальном портале Администрации города в раздел</w:t>
            </w:r>
            <w:r w:rsidR="00746E2F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«Общественные св</w:t>
            </w:r>
            <w:r w:rsidR="005030DD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язи», «СМИ о деятельности НКО» </w:t>
            </w: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5030DD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19A2" w:rsidRPr="00727FAA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социальных сетях (Одноклассники, </w:t>
            </w:r>
            <w:proofErr w:type="spellStart"/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04D4A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Контакте</w:t>
            </w:r>
            <w:proofErr w:type="spellEnd"/>
            <w:r w:rsidR="00804D4A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04D4A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</w:t>
            </w:r>
            <w:r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r w:rsidR="00727FAA" w:rsidRPr="007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  <w:p w:rsidR="00691A3B" w:rsidRDefault="00691A3B" w:rsidP="00691A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727FAA" w:rsidRPr="00B56FD9" w:rsidRDefault="00727FAA" w:rsidP="00727F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 для организаторов добровольческой деятельности и руководителей молодежных общественных объединений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</w:tcPr>
          <w:p w:rsidR="00E27511" w:rsidRPr="000C243C" w:rsidRDefault="00E27511" w:rsidP="00DC7A1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3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Проведено</w:t>
            </w:r>
            <w:r w:rsidRPr="000C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243C" w:rsidRPr="000C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C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семинар</w:t>
            </w:r>
            <w:r w:rsidR="000C243C" w:rsidRPr="000C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C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(обучающих программ) по различным направлениям волонтерской деятельности</w:t>
            </w:r>
            <w:r w:rsidR="00DC7A14" w:rsidRPr="000C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243C" w:rsidRPr="000C243C" w:rsidRDefault="000C243C" w:rsidP="000C243C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0C243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 1 полугодии</w:t>
            </w:r>
            <w:r w:rsidR="00DC7A14" w:rsidRPr="000C243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2023 года в мероприят</w:t>
            </w:r>
            <w:r w:rsidR="00CB2BFB" w:rsidRPr="000C243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иях приняло участие </w:t>
            </w:r>
            <w:r w:rsidRPr="000C243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225</w:t>
            </w:r>
            <w:r w:rsidR="00CB2BFB" w:rsidRPr="000C243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человек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для организаторов добровольческой деятельности и руководителей молодежных общественных объединений по подготовке проектов к конкурсам на получение грантов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1B0ABD" w:rsidRPr="00011CD7" w:rsidRDefault="001B0ABD" w:rsidP="001B0ABD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Проведено:</w:t>
            </w:r>
          </w:p>
          <w:p w:rsidR="001B0ABD" w:rsidRPr="00011CD7" w:rsidRDefault="001B0ABD" w:rsidP="001B0ABD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1CD7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</w:t>
            </w:r>
            <w:r w:rsidR="00011CD7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грантовых</w:t>
            </w:r>
            <w:proofErr w:type="spellEnd"/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конкурсов и </w:t>
            </w:r>
            <w:proofErr w:type="spellStart"/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форумных</w:t>
            </w:r>
            <w:proofErr w:type="spellEnd"/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кампаний для мол</w:t>
            </w:r>
            <w:r w:rsidR="00F21600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одежи численностью </w:t>
            </w:r>
            <w:r w:rsidR="00011CD7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 w:rsidR="00F21600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человек;</w:t>
            </w:r>
          </w:p>
          <w:p w:rsidR="001B0ABD" w:rsidRPr="00011CD7" w:rsidRDefault="001B0ABD" w:rsidP="001B0ABD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1CD7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круглых стола и </w:t>
            </w:r>
            <w:r w:rsidR="00011CD7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конвейера проектов, целью которых является повышение количества победных грантов среди молодежи города Сургута посредствам помощи в написании и подаче заявок на </w:t>
            </w:r>
            <w:proofErr w:type="spellStart"/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грантовые</w:t>
            </w:r>
            <w:proofErr w:type="spellEnd"/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конкурсы в течении года</w:t>
            </w:r>
            <w:r w:rsidR="00011CD7"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             </w:t>
            </w:r>
          </w:p>
          <w:p w:rsidR="00011CD7" w:rsidRPr="00B56FD9" w:rsidRDefault="00011CD7" w:rsidP="00011C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1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- 94 консультации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для представителей молодежных общественных объединений по вопросам реализации проектов и мероприятий на территории города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AF51BD" w:rsidRPr="005C1F6B" w:rsidRDefault="003B63D2" w:rsidP="00AF51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65909"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роведено </w:t>
            </w:r>
            <w:r w:rsidR="005C1F6B"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индивидуальных консультаци</w:t>
            </w:r>
            <w:r w:rsidR="005C1F6B"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волонтерами и представителями социально ориентированных некоммерческих организаций</w:t>
            </w:r>
            <w:r w:rsidR="006D277D"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536E" w:rsidRPr="00B56FD9" w:rsidRDefault="006D536E" w:rsidP="00475F29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методической, консультационной и информационной поддержки немуниципальным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организациям, индивидуальным предпринимателям, в том числе социально-ориентированным некоммерческим организациям, оказывающим населению услуги в сфере физической культуры и спорта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980" w:type="dxa"/>
            <w:vAlign w:val="center"/>
          </w:tcPr>
          <w:p w:rsidR="00D8785B" w:rsidRPr="009B73AE" w:rsidRDefault="00034EF1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</w:t>
            </w:r>
            <w:r w:rsidR="00342562" w:rsidRPr="009B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73AE" w:rsidRPr="009B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B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 немуниципальным организациям, индивидуальным предпринимателям, в том числе социально-</w:t>
            </w:r>
            <w:r w:rsidRPr="009B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ориентированным некоммерческим организациям, оказывающим населению услуги в сфере физической культуры и спорта</w:t>
            </w:r>
          </w:p>
          <w:p w:rsidR="004466BD" w:rsidRPr="00B56FD9" w:rsidRDefault="004466BD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информации, посвященной деятельности немуниципальных поставщиков услуг в сфере физической культуры и спорта на официальном сайте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980" w:type="dxa"/>
            <w:vAlign w:val="center"/>
          </w:tcPr>
          <w:p w:rsidR="00D8785B" w:rsidRPr="00A4589F" w:rsidRDefault="009722CA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деятельности немуниципальных поставщиков услуг в сфере физической культуры и спорта актуа</w:t>
            </w:r>
            <w:r w:rsidR="00970C92" w:rsidRPr="00A4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лизируется на постоянной основе</w:t>
            </w:r>
            <w:r w:rsidR="00F56119" w:rsidRPr="00A4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4589F" w:rsidRPr="00B56FD9" w:rsidRDefault="00A4589F" w:rsidP="00A4589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4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https://admsurgut.ru/rubric/23087/Predostavlenie-subsidiy-nemunicipalnym-organizaciyam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обучения (семинары/повышение квалификации) работников Администрации города, </w:t>
            </w:r>
          </w:p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структурных подразделений</w:t>
            </w:r>
            <w:r w:rsidR="009722CA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муниципальных учреждений в части расширения взаимодействия с немуниципальными организациями (коммерческими, некоммерческими), оказывающими населению услуги в социальной сфере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256361" w:rsidRPr="00B56FD9" w:rsidRDefault="00256361" w:rsidP="0025636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5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муниципальной программы «Развитие муниципальной службы в городе Сургуте на период до 2030 года» в период с 25.04.2023 по 26.04.2023 организованы курсы повышения квалификации по программе «Взаимодействие органов местного самоуправления с социально ориентированными некоммерческими организациями, социальными предпринимателями и привлечение их к оказанию услуг в социальной сфере (в том числе вопросы правового регулирования предоставления субсидий и грантов)», в которых приняли участие 12 человек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периодических консультаций с представителями негосударственных (немуниципальных) организаций – получателями финансовой поддержки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сфере образования, по вопросам получения ими статуса «социального предпринимателя»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 годы</w:t>
            </w:r>
          </w:p>
        </w:tc>
        <w:tc>
          <w:tcPr>
            <w:tcW w:w="5980" w:type="dxa"/>
            <w:vAlign w:val="center"/>
          </w:tcPr>
          <w:p w:rsidR="00D8785B" w:rsidRPr="00C37A8D" w:rsidRDefault="0041678D" w:rsidP="0041678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6452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</w:t>
            </w:r>
            <w:r w:rsidR="00D65C26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36452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5C26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6452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</w:t>
            </w:r>
            <w:r w:rsidR="00D65C26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36452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представителями негосударственных (немуниципальных) организаций</w:t>
            </w:r>
            <w:r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36452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получателями финансово</w:t>
            </w:r>
            <w:r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поддержки в сфере образования</w:t>
            </w:r>
            <w:r w:rsidR="00236452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</w:t>
            </w:r>
            <w:r w:rsidR="00236452" w:rsidRPr="005B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получения ими статуса «социального предпринимателя»</w:t>
            </w:r>
          </w:p>
          <w:p w:rsidR="00EE2EEB" w:rsidRPr="00C37A8D" w:rsidRDefault="00EE2EEB" w:rsidP="0041678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85B" w:rsidRPr="00C37A8D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Вовлечение немуниципальных организаций, в том числе индивидуальных предпринимателей, оказывающих услуги в социальной сфере, в городские мероприятия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на предоставление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</w:t>
            </w:r>
            <w:r w:rsid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шений, профилактику экстремизма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835ECC" w:rsidRPr="00B56FD9" w:rsidRDefault="00901AFB" w:rsidP="002B0E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заключенных в 2022 году соглашений с получателями грантов в форме субсидии </w:t>
            </w:r>
            <w:r w:rsidR="00975D48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СМИ города в </w:t>
            </w:r>
            <w:r w:rsidR="00CB2BFB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6176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полугодии</w:t>
            </w:r>
            <w:r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 года вышло </w:t>
            </w:r>
            <w:r w:rsidR="00975D48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86176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оригинальных материала, направленных на профилактику межнациональных (межэтнических) конфликтов, профилактику экстремизма:</w:t>
            </w:r>
            <w:r w:rsidR="006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6176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оригинальных телепрограмм, </w:t>
            </w:r>
            <w:r w:rsidR="00F86176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оригинальных радиопрограммы, </w:t>
            </w:r>
            <w:r w:rsidR="00F86176"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печатных материалов</w:t>
            </w:r>
            <w:r w:rsidRPr="00F86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B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Предусмотрена интеграция всех материалов в сеть Интернет. Реализация грантов продолжается. </w:t>
            </w:r>
            <w:r w:rsidRPr="0083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2023 году </w:t>
            </w:r>
            <w:r w:rsidR="00835ECC" w:rsidRPr="0083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</w:t>
            </w:r>
            <w:r w:rsidRPr="00835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очередной конкурсный отбор. </w:t>
            </w:r>
            <w:r w:rsidR="00835ECC" w:rsidRPr="002B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с победителями конкурсного отбора, проекты получателей грантов в форме субсидий планируется реализовать до конца года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организаций, реализующих программы дополнительного образования, культурно-просветительские и образовательные проекты «Сургут – детям»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октября ежегодно</w:t>
            </w:r>
          </w:p>
        </w:tc>
        <w:tc>
          <w:tcPr>
            <w:tcW w:w="5980" w:type="dxa"/>
          </w:tcPr>
          <w:p w:rsidR="00152180" w:rsidRPr="007819ED" w:rsidRDefault="00290727" w:rsidP="00B94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выставка-ярмарка организаций, реализующих программы дополнительного образования, образовательные и культурно-просветительские проекты «Сургут – детям» запланирована в </w:t>
            </w:r>
            <w:r w:rsidR="00CB2BFB" w:rsidRPr="00781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 w:rsidRPr="00781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квартале 2023 года</w:t>
            </w:r>
          </w:p>
          <w:p w:rsidR="007819ED" w:rsidRPr="00B56FD9" w:rsidRDefault="007819ED" w:rsidP="00B94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980" w:type="dxa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летнего отдыха детей в парках, скверах и спортивных сооружениях города с привлечением немуниципальных организаций,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индивидуальных предпринимателей, оказывающих социальные услуги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980" w:type="dxa"/>
          </w:tcPr>
          <w:p w:rsidR="00D8785B" w:rsidRPr="005C1F6B" w:rsidRDefault="004620A6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мероприятии носит заявительный характер. В отчетном периоде 202</w:t>
            </w:r>
            <w:r w:rsidR="000108B1"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заявки на участие в мероприятии от организаций частной формы собственности не поступали</w:t>
            </w:r>
          </w:p>
          <w:p w:rsidR="005C1F6B" w:rsidRPr="00B56FD9" w:rsidRDefault="005C1F6B" w:rsidP="00D8785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Реализация механизмов поддержки немуниципальных организаций (коммерческих, некоммерческих), индивидуальных предпринимателей, оказывающих услуги в социальной сфере</w:t>
            </w:r>
          </w:p>
        </w:tc>
      </w:tr>
      <w:tr w:rsidR="00D8785B" w:rsidRPr="00C37A8D" w:rsidTr="00AA31CE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80" w:type="dxa"/>
          </w:tcPr>
          <w:p w:rsidR="00C05A32" w:rsidRDefault="00D8785B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немуниципальным организациям в рамках поддержки доступа негосударственных организаций (коммерческих, некоммерческих), индивидуальным предпринимателям</w:t>
            </w:r>
          </w:p>
          <w:p w:rsidR="00D8785B" w:rsidRDefault="00D8785B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предоставлению услуг в социальной сфере образования на территории города Сургута</w:t>
            </w:r>
          </w:p>
          <w:p w:rsidR="00C83A79" w:rsidRDefault="00C83A79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A79" w:rsidRDefault="00C83A79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A79" w:rsidRPr="00C37A8D" w:rsidRDefault="00C83A79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9" w:rsidRPr="001807F8" w:rsidRDefault="00656A79" w:rsidP="007C367F">
            <w:pPr>
              <w:pStyle w:val="ConsPlusNormal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1807F8">
              <w:rPr>
                <w:rFonts w:eastAsia="Times New Roman"/>
                <w:color w:val="000000"/>
                <w:sz w:val="28"/>
                <w:szCs w:val="28"/>
                <w:u w:val="single"/>
              </w:rPr>
              <w:t>В сфере образования:</w:t>
            </w:r>
          </w:p>
          <w:p w:rsidR="007C367F" w:rsidRPr="001807F8" w:rsidRDefault="00656A79" w:rsidP="007C367F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1807F8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="007C367F" w:rsidRPr="001807F8">
              <w:rPr>
                <w:rFonts w:eastAsia="Times New Roman"/>
                <w:color w:val="000000"/>
                <w:sz w:val="28"/>
                <w:szCs w:val="28"/>
              </w:rPr>
              <w:t>редоставлены субсидии негосударственным (немуниципальным) организация</w:t>
            </w:r>
            <w:r w:rsidR="00396782" w:rsidRPr="001807F8">
              <w:rPr>
                <w:rFonts w:eastAsia="Times New Roman"/>
                <w:color w:val="000000"/>
                <w:sz w:val="28"/>
                <w:szCs w:val="28"/>
              </w:rPr>
              <w:t xml:space="preserve">м на общую сумму </w:t>
            </w:r>
            <w:r w:rsidR="001807F8" w:rsidRPr="001807F8">
              <w:rPr>
                <w:rFonts w:eastAsia="Times New Roman"/>
                <w:color w:val="000000"/>
                <w:sz w:val="28"/>
                <w:szCs w:val="28"/>
              </w:rPr>
              <w:t>143,6</w:t>
            </w:r>
            <w:r w:rsidR="00396782" w:rsidRPr="001807F8">
              <w:rPr>
                <w:rFonts w:eastAsia="Times New Roman"/>
                <w:color w:val="000000"/>
                <w:sz w:val="28"/>
                <w:szCs w:val="28"/>
              </w:rPr>
              <w:t xml:space="preserve"> млн. рублей</w:t>
            </w:r>
            <w:r w:rsidR="007C367F" w:rsidRPr="001807F8">
              <w:rPr>
                <w:rFonts w:eastAsia="Times New Roman"/>
                <w:color w:val="000000"/>
                <w:sz w:val="28"/>
                <w:szCs w:val="28"/>
              </w:rPr>
              <w:t xml:space="preserve">, что составляет </w:t>
            </w:r>
            <w:r w:rsidR="001807F8" w:rsidRPr="001807F8">
              <w:rPr>
                <w:rFonts w:eastAsia="Times New Roman"/>
                <w:color w:val="000000"/>
                <w:sz w:val="28"/>
                <w:szCs w:val="28"/>
              </w:rPr>
              <w:t>35,7</w:t>
            </w:r>
            <w:r w:rsidR="007C367F" w:rsidRPr="001807F8">
              <w:rPr>
                <w:rFonts w:eastAsia="Times New Roman"/>
                <w:color w:val="000000"/>
                <w:sz w:val="28"/>
                <w:szCs w:val="28"/>
              </w:rPr>
              <w:t xml:space="preserve"> % от годово</w:t>
            </w:r>
            <w:r w:rsidR="00396782" w:rsidRPr="001807F8">
              <w:rPr>
                <w:rFonts w:eastAsia="Times New Roman"/>
                <w:color w:val="000000"/>
                <w:sz w:val="28"/>
                <w:szCs w:val="28"/>
              </w:rPr>
              <w:t xml:space="preserve">го плана (план – </w:t>
            </w:r>
            <w:r w:rsidR="001807F8" w:rsidRPr="001807F8">
              <w:rPr>
                <w:rFonts w:eastAsia="Times New Roman"/>
                <w:color w:val="000000"/>
                <w:sz w:val="28"/>
                <w:szCs w:val="28"/>
              </w:rPr>
              <w:t>402</w:t>
            </w:r>
            <w:r w:rsidR="00290727" w:rsidRPr="001807F8">
              <w:rPr>
                <w:rFonts w:eastAsia="Times New Roman"/>
                <w:color w:val="000000"/>
                <w:sz w:val="28"/>
                <w:szCs w:val="28"/>
              </w:rPr>
              <w:t>,8</w:t>
            </w:r>
            <w:r w:rsidR="00396782" w:rsidRPr="001807F8">
              <w:rPr>
                <w:rFonts w:eastAsia="Times New Roman"/>
                <w:color w:val="000000"/>
                <w:sz w:val="28"/>
                <w:szCs w:val="28"/>
              </w:rPr>
              <w:t xml:space="preserve"> млн. рублей</w:t>
            </w:r>
            <w:r w:rsidR="007C367F" w:rsidRPr="001807F8">
              <w:rPr>
                <w:rFonts w:eastAsia="Times New Roman"/>
                <w:color w:val="000000"/>
                <w:sz w:val="28"/>
                <w:szCs w:val="28"/>
              </w:rPr>
              <w:t>):</w:t>
            </w:r>
          </w:p>
          <w:p w:rsidR="00290727" w:rsidRPr="001807F8" w:rsidRDefault="00290727" w:rsidP="00290727">
            <w:pPr>
              <w:pStyle w:val="af3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807F8">
              <w:rPr>
                <w:rFonts w:eastAsia="Times New Roman"/>
                <w:color w:val="000000"/>
                <w:szCs w:val="28"/>
                <w:lang w:eastAsia="ru-RU"/>
              </w:rPr>
              <w:t xml:space="preserve">- 6-ти частным (немуниципальным) организациям, осуществляющим образовательную деятельность по реализации образовательных программ дошкольного образования (в том числе одной социально ориентированной некоммерческой организации), 1-му индивидуальному предпринимателю в объеме </w:t>
            </w:r>
            <w:r w:rsidR="001807F8" w:rsidRPr="001807F8">
              <w:rPr>
                <w:rFonts w:eastAsia="Times New Roman"/>
                <w:color w:val="000000"/>
                <w:szCs w:val="28"/>
                <w:lang w:eastAsia="ru-RU"/>
              </w:rPr>
              <w:t>140,2</w:t>
            </w:r>
            <w:r w:rsidRPr="001807F8">
              <w:rPr>
                <w:rFonts w:eastAsia="Times New Roman"/>
                <w:color w:val="000000"/>
                <w:szCs w:val="28"/>
                <w:lang w:eastAsia="ru-RU"/>
              </w:rPr>
              <w:t xml:space="preserve"> млн. руб.;</w:t>
            </w:r>
          </w:p>
          <w:p w:rsidR="00290727" w:rsidRPr="001807F8" w:rsidRDefault="00290727" w:rsidP="00290727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1807F8">
              <w:rPr>
                <w:rFonts w:eastAsia="Times New Roman"/>
                <w:color w:val="000000"/>
                <w:sz w:val="28"/>
                <w:szCs w:val="28"/>
              </w:rPr>
              <w:t xml:space="preserve">- 4-м негосударственным (немуниципальным) образовательным организациям, обеспечивающим отдых и оздоровление детей (в том числе 3-м социально ориентированным некоммерческим организациям) в объеме </w:t>
            </w:r>
            <w:r w:rsidRPr="001807F8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1807F8" w:rsidRPr="001807F8">
              <w:rPr>
                <w:rFonts w:eastAsia="Times New Roman"/>
                <w:color w:val="000000"/>
                <w:sz w:val="28"/>
                <w:szCs w:val="28"/>
              </w:rPr>
              <w:t>3,4</w:t>
            </w:r>
            <w:r w:rsidRPr="001807F8">
              <w:rPr>
                <w:rFonts w:eastAsia="Times New Roman"/>
                <w:color w:val="000000"/>
                <w:sz w:val="28"/>
                <w:szCs w:val="28"/>
              </w:rPr>
              <w:t xml:space="preserve"> млн. руб.</w:t>
            </w:r>
          </w:p>
          <w:p w:rsidR="00656A79" w:rsidRPr="009B73AE" w:rsidRDefault="00656A79" w:rsidP="007C367F">
            <w:pPr>
              <w:pStyle w:val="ConsPlusNormal"/>
              <w:rPr>
                <w:sz w:val="28"/>
                <w:szCs w:val="28"/>
                <w:u w:val="single"/>
                <w:lang w:eastAsia="en-US"/>
              </w:rPr>
            </w:pPr>
            <w:r w:rsidRPr="009B73AE">
              <w:rPr>
                <w:sz w:val="28"/>
                <w:szCs w:val="28"/>
                <w:u w:val="single"/>
                <w:lang w:eastAsia="en-US"/>
              </w:rPr>
              <w:t>В сфере культуры:</w:t>
            </w:r>
          </w:p>
          <w:p w:rsidR="00403E53" w:rsidRPr="00254AE6" w:rsidRDefault="00403E53" w:rsidP="00F123E7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254AE6">
              <w:rPr>
                <w:rFonts w:eastAsia="Times New Roman"/>
                <w:color w:val="000000"/>
                <w:sz w:val="28"/>
                <w:szCs w:val="28"/>
              </w:rPr>
              <w:t xml:space="preserve">запланировано к передаче в общем объеме </w:t>
            </w:r>
            <w:r w:rsidRPr="00254AE6">
              <w:rPr>
                <w:color w:val="000000"/>
                <w:sz w:val="28"/>
                <w:szCs w:val="28"/>
              </w:rPr>
              <w:br/>
            </w:r>
            <w:r w:rsidRPr="00254AE6">
              <w:rPr>
                <w:rFonts w:eastAsia="Times New Roman"/>
                <w:color w:val="000000"/>
                <w:sz w:val="28"/>
                <w:szCs w:val="28"/>
              </w:rPr>
              <w:t>2,4 млн. рублей.</w:t>
            </w:r>
          </w:p>
          <w:p w:rsidR="00F123E7" w:rsidRPr="00254AE6" w:rsidRDefault="00575BAA" w:rsidP="00F123E7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254AE6">
              <w:rPr>
                <w:rFonts w:eastAsia="Times New Roman"/>
                <w:color w:val="000000"/>
                <w:sz w:val="28"/>
                <w:szCs w:val="28"/>
              </w:rPr>
              <w:t xml:space="preserve">С 20 марта по 27 марта </w:t>
            </w:r>
            <w:r w:rsidR="00F123E7" w:rsidRPr="00254AE6">
              <w:rPr>
                <w:rFonts w:eastAsia="Times New Roman"/>
                <w:color w:val="000000"/>
                <w:sz w:val="28"/>
                <w:szCs w:val="28"/>
              </w:rPr>
              <w:t xml:space="preserve">2023 </w:t>
            </w:r>
            <w:r w:rsidRPr="00254AE6">
              <w:rPr>
                <w:rFonts w:eastAsia="Times New Roman"/>
                <w:color w:val="000000"/>
                <w:sz w:val="28"/>
                <w:szCs w:val="28"/>
              </w:rPr>
              <w:t xml:space="preserve">года </w:t>
            </w:r>
            <w:r w:rsidR="00F123E7" w:rsidRPr="00254AE6">
              <w:rPr>
                <w:rFonts w:eastAsia="Times New Roman"/>
                <w:color w:val="000000"/>
                <w:sz w:val="28"/>
                <w:szCs w:val="28"/>
              </w:rPr>
              <w:t xml:space="preserve">объявлен прием заявок на предоставление субсидии коммерческим, некоммерческим организациям, индивидуальным предпринимателям в связи с выполнением работ, оказанием услуг в сфере </w:t>
            </w:r>
            <w:r w:rsidR="00F123E7" w:rsidRPr="00254AE6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культуры, в соответствии с перечнем, установленным муниципальным правовым актом Администрации города. </w:t>
            </w:r>
          </w:p>
          <w:p w:rsidR="00F123E7" w:rsidRPr="00254AE6" w:rsidRDefault="00F123E7" w:rsidP="00F123E7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254AE6">
              <w:rPr>
                <w:rFonts w:eastAsia="Times New Roman"/>
                <w:color w:val="000000"/>
                <w:sz w:val="28"/>
                <w:szCs w:val="28"/>
              </w:rPr>
              <w:t xml:space="preserve">В указанный период подано 5 заявок на предоставление субсидии, </w:t>
            </w:r>
            <w:r w:rsidR="009A6B93" w:rsidRPr="009A6B93">
              <w:rPr>
                <w:rFonts w:eastAsia="Times New Roman"/>
                <w:color w:val="000000"/>
                <w:sz w:val="28"/>
                <w:szCs w:val="28"/>
              </w:rPr>
              <w:t>все заявки прошли процедуру согласования</w:t>
            </w:r>
            <w:r w:rsidRPr="00254AE6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9A6B93" w:rsidRPr="009A6B93" w:rsidRDefault="009A6B93" w:rsidP="00254A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54AE6" w:rsidRPr="009A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убсидия предоставлена </w:t>
            </w:r>
            <w:r w:rsidRPr="009A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54AE6" w:rsidRPr="009A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немуниципальным поставщикам услуг/работ в сфере культуры на общую сумму 1</w:t>
            </w:r>
            <w:r w:rsidRPr="009A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4 млн.</w:t>
            </w:r>
            <w:r w:rsidR="00254AE6" w:rsidRPr="009A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  <w:r w:rsidRPr="009A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1102" w:rsidRPr="00775D80" w:rsidRDefault="00254AE6" w:rsidP="009A6B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570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71102" w:rsidRPr="00775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физической культуры и спорта:</w:t>
            </w:r>
          </w:p>
          <w:p w:rsidR="00071102" w:rsidRPr="00775D80" w:rsidRDefault="00071102" w:rsidP="00071102">
            <w:pPr>
              <w:pStyle w:val="Textbody"/>
              <w:spacing w:after="0"/>
              <w:rPr>
                <w:color w:val="000000"/>
                <w:kern w:val="0"/>
                <w:sz w:val="28"/>
                <w:szCs w:val="28"/>
              </w:rPr>
            </w:pPr>
            <w:r w:rsidRPr="00775D80">
              <w:rPr>
                <w:color w:val="000000"/>
                <w:kern w:val="0"/>
                <w:sz w:val="28"/>
                <w:szCs w:val="28"/>
              </w:rPr>
              <w:t xml:space="preserve">запланировано к передаче в общем объеме </w:t>
            </w:r>
            <w:r w:rsidR="0033073B" w:rsidRPr="00775D80">
              <w:rPr>
                <w:color w:val="000000"/>
                <w:kern w:val="0"/>
                <w:sz w:val="28"/>
                <w:szCs w:val="28"/>
              </w:rPr>
              <w:br/>
              <w:t xml:space="preserve">8,9 </w:t>
            </w:r>
            <w:r w:rsidR="00396782" w:rsidRPr="00775D80">
              <w:rPr>
                <w:color w:val="000000"/>
                <w:kern w:val="0"/>
                <w:sz w:val="28"/>
                <w:szCs w:val="28"/>
              </w:rPr>
              <w:t>млн. рублей</w:t>
            </w:r>
            <w:r w:rsidRPr="00775D80">
              <w:rPr>
                <w:color w:val="000000"/>
                <w:kern w:val="0"/>
                <w:sz w:val="28"/>
                <w:szCs w:val="28"/>
              </w:rPr>
              <w:t xml:space="preserve">, </w:t>
            </w:r>
            <w:r w:rsidR="00396782" w:rsidRPr="00775D80">
              <w:rPr>
                <w:color w:val="000000"/>
                <w:kern w:val="0"/>
                <w:sz w:val="28"/>
                <w:szCs w:val="28"/>
              </w:rPr>
              <w:t>за отчетный период</w:t>
            </w:r>
            <w:r w:rsidRPr="00775D8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="00396782" w:rsidRPr="00775D80">
              <w:rPr>
                <w:color w:val="000000"/>
                <w:kern w:val="0"/>
                <w:sz w:val="28"/>
                <w:szCs w:val="28"/>
              </w:rPr>
              <w:t xml:space="preserve">предоставлено </w:t>
            </w:r>
            <w:r w:rsidRPr="00775D80">
              <w:rPr>
                <w:color w:val="000000"/>
                <w:kern w:val="0"/>
                <w:sz w:val="28"/>
                <w:szCs w:val="28"/>
              </w:rPr>
              <w:t>субсиди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й</w:t>
            </w:r>
            <w:r w:rsidR="005C5B95" w:rsidRPr="00775D8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="005C5B95" w:rsidRPr="00775D80">
              <w:rPr>
                <w:color w:val="000000"/>
                <w:sz w:val="28"/>
                <w:szCs w:val="28"/>
              </w:rPr>
              <w:t xml:space="preserve">на общую сумму </w:t>
            </w:r>
            <w:r w:rsidR="00775D80" w:rsidRPr="00775D80">
              <w:rPr>
                <w:color w:val="000000"/>
                <w:sz w:val="28"/>
                <w:szCs w:val="28"/>
              </w:rPr>
              <w:t>5,1</w:t>
            </w:r>
            <w:r w:rsidR="005C5B95" w:rsidRPr="00775D80">
              <w:rPr>
                <w:color w:val="000000"/>
                <w:sz w:val="28"/>
                <w:szCs w:val="28"/>
              </w:rPr>
              <w:t xml:space="preserve"> млн. рублей</w:t>
            </w:r>
            <w:r w:rsidRPr="00775D80">
              <w:rPr>
                <w:color w:val="000000"/>
                <w:kern w:val="0"/>
                <w:sz w:val="28"/>
                <w:szCs w:val="28"/>
              </w:rPr>
              <w:t>:</w:t>
            </w:r>
          </w:p>
          <w:p w:rsidR="00071102" w:rsidRPr="00775D80" w:rsidRDefault="00071102" w:rsidP="00071102">
            <w:pPr>
              <w:pStyle w:val="Textbody"/>
              <w:spacing w:after="0"/>
              <w:rPr>
                <w:color w:val="000000"/>
                <w:kern w:val="0"/>
                <w:sz w:val="28"/>
                <w:szCs w:val="28"/>
              </w:rPr>
            </w:pPr>
            <w:r w:rsidRPr="00775D80">
              <w:rPr>
                <w:color w:val="000000"/>
                <w:kern w:val="0"/>
                <w:sz w:val="28"/>
                <w:szCs w:val="28"/>
              </w:rPr>
              <w:t xml:space="preserve">- </w:t>
            </w:r>
            <w:r w:rsidR="0033073B" w:rsidRPr="00775D80">
              <w:rPr>
                <w:color w:val="000000"/>
                <w:kern w:val="0"/>
                <w:sz w:val="28"/>
                <w:szCs w:val="28"/>
              </w:rPr>
              <w:t>2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 xml:space="preserve"> индивидуальны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м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 xml:space="preserve"> предпринимателя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м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 xml:space="preserve"> в объеме </w:t>
            </w:r>
            <w:r w:rsidR="0033073B" w:rsidRPr="00775D80">
              <w:rPr>
                <w:color w:val="000000"/>
                <w:kern w:val="0"/>
                <w:sz w:val="28"/>
                <w:szCs w:val="28"/>
              </w:rPr>
              <w:t>1,</w:t>
            </w:r>
            <w:r w:rsidR="005C5B95" w:rsidRPr="00775D80">
              <w:rPr>
                <w:color w:val="000000"/>
                <w:kern w:val="0"/>
                <w:sz w:val="28"/>
                <w:szCs w:val="28"/>
              </w:rPr>
              <w:t>962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млн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>. рублей;</w:t>
            </w:r>
          </w:p>
          <w:p w:rsidR="005C5B95" w:rsidRPr="00B56FD9" w:rsidRDefault="00071102" w:rsidP="00775D80">
            <w:pPr>
              <w:pStyle w:val="Textbody"/>
              <w:spacing w:after="0"/>
              <w:rPr>
                <w:sz w:val="28"/>
                <w:szCs w:val="28"/>
                <w:highlight w:val="yellow"/>
                <w:lang w:eastAsia="en-US"/>
              </w:rPr>
            </w:pPr>
            <w:r w:rsidRPr="00775D80">
              <w:rPr>
                <w:color w:val="000000"/>
                <w:kern w:val="0"/>
                <w:sz w:val="28"/>
                <w:szCs w:val="28"/>
              </w:rPr>
              <w:t xml:space="preserve">- </w:t>
            </w:r>
            <w:r w:rsidR="0033073B" w:rsidRPr="00775D80">
              <w:rPr>
                <w:color w:val="000000"/>
                <w:kern w:val="0"/>
                <w:sz w:val="28"/>
                <w:szCs w:val="28"/>
              </w:rPr>
              <w:t>5</w:t>
            </w:r>
            <w:r w:rsidRPr="00775D80">
              <w:rPr>
                <w:color w:val="000000"/>
                <w:kern w:val="0"/>
                <w:sz w:val="28"/>
                <w:szCs w:val="28"/>
              </w:rPr>
              <w:t xml:space="preserve"> социально ориентирован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>ны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м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75D80">
              <w:rPr>
                <w:color w:val="000000"/>
                <w:kern w:val="0"/>
                <w:sz w:val="28"/>
                <w:szCs w:val="28"/>
              </w:rPr>
              <w:t>некоммерчески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м</w:t>
            </w:r>
            <w:r w:rsidRPr="00775D80">
              <w:rPr>
                <w:color w:val="000000"/>
                <w:kern w:val="0"/>
                <w:sz w:val="28"/>
                <w:szCs w:val="28"/>
              </w:rPr>
              <w:t xml:space="preserve"> организаци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ям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 xml:space="preserve"> в объеме </w:t>
            </w:r>
            <w:r w:rsidR="0033073B" w:rsidRPr="00775D80">
              <w:rPr>
                <w:color w:val="000000"/>
                <w:kern w:val="0"/>
                <w:sz w:val="28"/>
                <w:szCs w:val="28"/>
              </w:rPr>
              <w:br/>
            </w:r>
            <w:r w:rsidR="00775D80" w:rsidRPr="00775D80">
              <w:rPr>
                <w:color w:val="000000"/>
                <w:kern w:val="0"/>
                <w:sz w:val="28"/>
                <w:szCs w:val="28"/>
              </w:rPr>
              <w:t>3,150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="00F100F9" w:rsidRPr="00775D80">
              <w:rPr>
                <w:color w:val="000000"/>
                <w:kern w:val="0"/>
                <w:sz w:val="28"/>
                <w:szCs w:val="28"/>
              </w:rPr>
              <w:t>млн</w:t>
            </w:r>
            <w:r w:rsidR="00474A82" w:rsidRPr="00775D80">
              <w:rPr>
                <w:color w:val="000000"/>
                <w:kern w:val="0"/>
                <w:sz w:val="28"/>
                <w:szCs w:val="28"/>
              </w:rPr>
              <w:t>. рублей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финансовой поддержки субъектам малого и среднего предпринимательства, имеющим статус «социальное предприятие»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 (в объявленные сроки приема заявлений)</w:t>
            </w:r>
          </w:p>
        </w:tc>
        <w:tc>
          <w:tcPr>
            <w:tcW w:w="5980" w:type="dxa"/>
            <w:vAlign w:val="center"/>
          </w:tcPr>
          <w:p w:rsidR="00370073" w:rsidRPr="00672089" w:rsidRDefault="00370073" w:rsidP="003700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реализации муниципальной программы </w:t>
            </w:r>
            <w:r w:rsidR="00757B2C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малого и среднего предпринимательства в городе Сургуте на период до 2030 года</w:t>
            </w:r>
            <w:r w:rsidR="00757B2C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5B5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предоставление </w:t>
            </w: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финансовой поддержки субъектам малого и среднего предпринимательства, в том числе социальным</w:t>
            </w:r>
            <w:r w:rsidR="00B9493E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предпринимателям, пред</w:t>
            </w:r>
            <w:r w:rsidR="007D25B5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усмотрено более 17</w:t>
            </w: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млн. рублей. </w:t>
            </w:r>
          </w:p>
          <w:p w:rsidR="00D8785B" w:rsidRPr="00672089" w:rsidRDefault="004C33B3" w:rsidP="007933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поддерж</w:t>
            </w:r>
            <w:r w:rsidR="007D25B5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социальных предпринимателей предусмотрен</w:t>
            </w:r>
            <w:r w:rsidR="00672089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5B5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72089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7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D25B5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рублей за счет средств бюджета города (</w:t>
            </w:r>
            <w:r w:rsidR="007D25B5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II полугодии планируется направление запроса об увеличении лимитов </w:t>
            </w:r>
            <w:r w:rsidR="007D25B5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обязательств, предусмотренных на реализацию мероприятия по поддерж</w:t>
            </w:r>
            <w:r w:rsidR="007933D8"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социальных предпринимателей)</w:t>
            </w:r>
          </w:p>
          <w:p w:rsidR="00672089" w:rsidRPr="00B56FD9" w:rsidRDefault="00672089" w:rsidP="007933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7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заявок на предоставление субсидий данной категории предпринимателей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запланирован на июль 2023 года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980" w:type="dxa"/>
          </w:tcPr>
          <w:p w:rsidR="00D8785B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в форме субсидий </w:t>
            </w:r>
            <w:proofErr w:type="gramStart"/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некоммерческим  организациям</w:t>
            </w:r>
            <w:proofErr w:type="gramEnd"/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целях поддержки общественно значимых инициатив, направленных на межнациональное и межконфессиональное согласие,  профилактику экстремизма</w:t>
            </w:r>
          </w:p>
          <w:p w:rsidR="00C83A79" w:rsidRDefault="00C83A79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A79" w:rsidRPr="00C37A8D" w:rsidRDefault="00C83A79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BA5781" w:rsidRPr="00ED6D37" w:rsidRDefault="00BA5781" w:rsidP="00BA5781">
            <w:pPr>
              <w:pStyle w:val="Default"/>
              <w:rPr>
                <w:sz w:val="28"/>
                <w:szCs w:val="28"/>
              </w:rPr>
            </w:pPr>
            <w:r w:rsidRPr="00ED6D37">
              <w:rPr>
                <w:sz w:val="28"/>
                <w:szCs w:val="28"/>
              </w:rPr>
              <w:t>В рамках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и терроризма на период до 2030 года», утвержденной постановлением Администрации города от 12.11.2019 № 8407, предусмотрено основное мероприятие 1.1.1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(1, 2, 3, 4)», с финансированием в 2023 году - 5, 4 млн. рублей.</w:t>
            </w:r>
          </w:p>
          <w:p w:rsidR="00BA5781" w:rsidRPr="00ED6D37" w:rsidRDefault="00BA5781" w:rsidP="00BA5781">
            <w:pPr>
              <w:pStyle w:val="Default"/>
              <w:rPr>
                <w:sz w:val="28"/>
                <w:szCs w:val="28"/>
              </w:rPr>
            </w:pPr>
            <w:r w:rsidRPr="00ED6D37">
              <w:rPr>
                <w:sz w:val="28"/>
                <w:szCs w:val="28"/>
              </w:rPr>
              <w:t xml:space="preserve">В рамках основного мероприятия предусмотрены 2 </w:t>
            </w:r>
            <w:proofErr w:type="spellStart"/>
            <w:r w:rsidRPr="00ED6D37">
              <w:rPr>
                <w:sz w:val="28"/>
                <w:szCs w:val="28"/>
              </w:rPr>
              <w:t>подмероприятия</w:t>
            </w:r>
            <w:proofErr w:type="spellEnd"/>
            <w:r w:rsidRPr="00ED6D37">
              <w:rPr>
                <w:sz w:val="28"/>
                <w:szCs w:val="28"/>
              </w:rPr>
              <w:t>:</w:t>
            </w:r>
          </w:p>
          <w:p w:rsidR="00BA5781" w:rsidRPr="00ED6D37" w:rsidRDefault="00BA5781" w:rsidP="00ED6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- 1.1.1.1 «Предоставление грантов в форме субсидий некоммерческим организациям в целях поддержки общественно-значимых </w:t>
            </w:r>
            <w:r w:rsidRPr="00ED6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инициатив в сфере межнационального и межконфессионального согласия, профилактики экстремизма», на реализацию которого в 2023 году предусмотрены средства в объеме 2, 5 млн. рублей. </w:t>
            </w:r>
            <w:r w:rsidR="00ED6D37" w:rsidRPr="00ED6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Гранты предоставлены 5 некоммерческим организациям в объёме 2,5 млн. рублей</w:t>
            </w:r>
            <w:r w:rsidR="00DF594C" w:rsidRPr="00ED6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C4175" w:rsidRPr="00B56FD9" w:rsidRDefault="00BA5781" w:rsidP="00D71E35">
            <w:pPr>
              <w:pStyle w:val="Textbody"/>
              <w:spacing w:after="0"/>
              <w:rPr>
                <w:color w:val="000000"/>
                <w:sz w:val="28"/>
                <w:szCs w:val="28"/>
                <w:highlight w:val="yellow"/>
              </w:rPr>
            </w:pPr>
            <w:r w:rsidRPr="00ED6D37"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- 1.1.1.2 «Предоставление грантов в форме субсидий некоммерческим организациям в целях поддержки общественно значимых инициатив, направленных на межнациональное и межконфессиональное согласие, профилактику экстремизма, в сфере физической культуры и спорта», на реализацию предусмотрено 2, 9 млн. рублей. Проведение конкурса </w:t>
            </w:r>
            <w:r w:rsidR="00DF594C" w:rsidRPr="00ED6D37"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запланировано на III</w:t>
            </w:r>
            <w:r w:rsidRPr="00ED6D37"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 квартал 2023 года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в форме субсидии некоммерческим организациям в целях поддержки общественно значимых инициатив 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</w:tcPr>
          <w:p w:rsidR="007071EA" w:rsidRPr="00177113" w:rsidRDefault="007071EA" w:rsidP="007071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Гранты в форме субсидий некоммерческим организациям в целях поддержки общественно значимых инициатив предоставлены 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 некоммерческим организациям в объеме 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2 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рублей:</w:t>
            </w:r>
          </w:p>
          <w:p w:rsidR="007071EA" w:rsidRPr="00177113" w:rsidRDefault="007071EA" w:rsidP="007071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региональному благотворительному фонду помощи детям и молодежи с тяжёлыми заболеваниями «Благо Дарю» за проект «Просветительский проект «О благотворительности просто» в размере 69,4 тыс. рублей;</w:t>
            </w:r>
          </w:p>
          <w:p w:rsidR="007071EA" w:rsidRPr="00177113" w:rsidRDefault="007071EA" w:rsidP="007071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автономной некоммерческой организации «Центр поддержки семей «Круг надежд»» за проект «Этнокультурный проект Мастерская 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семейного творчества Девичья горница» в размере 212, 472 тыс. рублей;</w:t>
            </w:r>
          </w:p>
          <w:p w:rsidR="007071EA" w:rsidRPr="00177113" w:rsidRDefault="007071EA" w:rsidP="007071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общественной организации «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Сургутская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городская организация журналистов» за проект «Живая память в книге 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Сургутских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журналистов» в размере 191, 75 тыс. рублей;</w:t>
            </w:r>
          </w:p>
          <w:p w:rsidR="007071EA" w:rsidRPr="00177113" w:rsidRDefault="007071EA" w:rsidP="007071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региональной физкультурно-спортивной общественной организации «Федерация 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фиджитал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спорта (функционально-цифрового спорта) Ханты-Мансийского автономного округа – Югры» за проект «Юнармейская 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фиджитал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-лига «КИБЕРДЕСАНТ» в размере 351, 339 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 рублей;</w:t>
            </w:r>
          </w:p>
          <w:p w:rsidR="007071EA" w:rsidRPr="00177113" w:rsidRDefault="007071EA" w:rsidP="00466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бщественн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«Ветераны геологии» 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местная г. Сургута благотворительная 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проект «Геологи Среднего 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Приобья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65 лет пути» в размере 401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770 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7071EA" w:rsidRPr="00177113" w:rsidRDefault="007071EA" w:rsidP="00466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втономн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некоммерческ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экономики, управления и права» за проект «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ЭтноСкетчинг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размере 430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0 тыс. рублей;</w:t>
            </w:r>
          </w:p>
          <w:p w:rsidR="007071EA" w:rsidRPr="00177113" w:rsidRDefault="007071EA" w:rsidP="00466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ургутско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Саланг</w:t>
            </w:r>
            <w:proofErr w:type="spellEnd"/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Ханты-Мансийской региональной организации общероссийской общественной организации «Российский союз ветеранов Афганистана» за проект «Знать и Помнить» в размере 487</w:t>
            </w:r>
            <w:r w:rsidR="0046655B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4 тыс. </w:t>
            </w: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рублей.</w:t>
            </w:r>
          </w:p>
          <w:p w:rsidR="007071EA" w:rsidRPr="0046655B" w:rsidRDefault="007071EA" w:rsidP="001771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прое</w:t>
            </w:r>
            <w:r w:rsidR="00177113" w:rsidRPr="00177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ктов с 01.07.2023 по 30.11.2023</w:t>
            </w:r>
          </w:p>
        </w:tc>
      </w:tr>
      <w:tr w:rsidR="00AF2505" w:rsidRPr="00C37A8D" w:rsidTr="00E42139">
        <w:tc>
          <w:tcPr>
            <w:tcW w:w="776" w:type="dxa"/>
            <w:vAlign w:val="center"/>
          </w:tcPr>
          <w:p w:rsidR="00AF2505" w:rsidRPr="00C37A8D" w:rsidRDefault="00AF2505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AF2505" w:rsidRPr="00C37A8D" w:rsidRDefault="00AF2505" w:rsidP="00E42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аренду муниципального имущества с применением коэффициентов, понижающих арендную плату, либо безвозмездно социально ориентированным некоммерческим организациям, индивидуальным предпринимателям, оказывающим услуги по присмотру и уходу за детьми</w:t>
            </w:r>
          </w:p>
        </w:tc>
        <w:tc>
          <w:tcPr>
            <w:tcW w:w="2824" w:type="dxa"/>
            <w:vAlign w:val="center"/>
          </w:tcPr>
          <w:p w:rsidR="00AF2505" w:rsidRPr="00C37A8D" w:rsidRDefault="00AF2505" w:rsidP="00AF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46457B" w:rsidRPr="00753B78" w:rsidRDefault="00AF2505" w:rsidP="0046457B">
            <w:pPr>
              <w:pStyle w:val="af6"/>
              <w:spacing w:after="0"/>
              <w:rPr>
                <w:color w:val="000000"/>
              </w:rPr>
            </w:pPr>
            <w:r w:rsidRPr="00753B78">
              <w:rPr>
                <w:color w:val="000000"/>
              </w:rPr>
              <w:t xml:space="preserve">Постановлением Администрации города от 10.09.2012 № 7010, в соответствии с частью 7 статьи 31.1. Федерального закона от 12.01.1996 № 7-ФЗ «О некоммерческих организациях», утвержден перечень муниципального имущества, свободного от прав третьих лиц (за исключением имущественных прав некоммерческих организаций), предназначенный для поддержки социально ориентированных некоммерческих организаций. По состоянию на </w:t>
            </w:r>
            <w:r w:rsidR="00423225" w:rsidRPr="00753B78">
              <w:rPr>
                <w:color w:val="000000"/>
              </w:rPr>
              <w:t>3</w:t>
            </w:r>
            <w:r w:rsidR="00753B78" w:rsidRPr="00753B78">
              <w:rPr>
                <w:color w:val="000000"/>
              </w:rPr>
              <w:t>0</w:t>
            </w:r>
            <w:r w:rsidRPr="00753B78">
              <w:rPr>
                <w:color w:val="000000"/>
              </w:rPr>
              <w:t>.</w:t>
            </w:r>
            <w:r w:rsidR="00C92374" w:rsidRPr="00753B78">
              <w:rPr>
                <w:color w:val="000000"/>
              </w:rPr>
              <w:t>0</w:t>
            </w:r>
            <w:r w:rsidR="00753B78" w:rsidRPr="00753B78">
              <w:rPr>
                <w:color w:val="000000"/>
              </w:rPr>
              <w:t>6</w:t>
            </w:r>
            <w:r w:rsidRPr="00753B78">
              <w:rPr>
                <w:color w:val="000000"/>
              </w:rPr>
              <w:t>.202</w:t>
            </w:r>
            <w:r w:rsidR="00C92374" w:rsidRPr="00753B78">
              <w:rPr>
                <w:color w:val="000000"/>
              </w:rPr>
              <w:t>3</w:t>
            </w:r>
            <w:r w:rsidRPr="00753B78">
              <w:rPr>
                <w:color w:val="000000"/>
              </w:rPr>
              <w:t xml:space="preserve">                    </w:t>
            </w:r>
            <w:r w:rsidR="00B9493E" w:rsidRPr="00753B78">
              <w:rPr>
                <w:color w:val="000000"/>
              </w:rPr>
              <w:t>указанный перечень содержит</w:t>
            </w:r>
            <w:r w:rsidRPr="00753B78">
              <w:rPr>
                <w:color w:val="000000"/>
              </w:rPr>
              <w:t xml:space="preserve"> </w:t>
            </w:r>
            <w:r w:rsidR="0046457B" w:rsidRPr="00753B78">
              <w:rPr>
                <w:color w:val="000000"/>
              </w:rPr>
              <w:t xml:space="preserve">55 помещений общей площадью </w:t>
            </w:r>
            <w:r w:rsidR="00753B78" w:rsidRPr="00753B78">
              <w:rPr>
                <w:color w:val="000000"/>
              </w:rPr>
              <w:t xml:space="preserve">7 479,7 </w:t>
            </w:r>
            <w:r w:rsidR="0046457B" w:rsidRPr="00753B78">
              <w:rPr>
                <w:color w:val="000000"/>
              </w:rPr>
              <w:t>кв. м.</w:t>
            </w:r>
          </w:p>
          <w:p w:rsidR="00AF2505" w:rsidRPr="00753B78" w:rsidRDefault="00AF2505" w:rsidP="00AF25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безвозмездное пользование передано социально-ориентированным некоммерческим организациям 2 помещения общей площадью 1 618,80 кв. метров.</w:t>
            </w:r>
          </w:p>
          <w:p w:rsidR="00753B78" w:rsidRPr="00B56FD9" w:rsidRDefault="00CA3FBF" w:rsidP="00962B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5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Думы города</w:t>
            </w:r>
            <w:r w:rsidR="00AF2505" w:rsidRPr="0075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21.02.2018 № 233-VI</w:t>
            </w:r>
            <w:r w:rsidR="00DF594C" w:rsidRPr="0075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2505" w:rsidRPr="0075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 «О методике расчета арендной платы за пользование муниципальным имуществом, расположенным на территории города» предусмотрены льготы (понижающий коэффициент 0,3) по арендной плате, позволяющий снизить арендную плату на 70%, по социально значимым видам деятельности, о</w:t>
            </w:r>
            <w:r w:rsidR="00962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существляемым предпринимателями</w:t>
            </w:r>
          </w:p>
        </w:tc>
      </w:tr>
      <w:tr w:rsidR="00AF2505" w:rsidRPr="00C37A8D" w:rsidTr="00E20AF4">
        <w:tc>
          <w:tcPr>
            <w:tcW w:w="776" w:type="dxa"/>
            <w:vAlign w:val="center"/>
          </w:tcPr>
          <w:p w:rsidR="00AF2505" w:rsidRPr="00C37A8D" w:rsidRDefault="00CA3FBF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F2505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  <w:vAlign w:val="center"/>
          </w:tcPr>
          <w:p w:rsidR="00AF2505" w:rsidRPr="00C37A8D" w:rsidRDefault="00AF2505" w:rsidP="00AF25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конкурсе на предоставление гранта Губернатора ХМАО – Югры для ресурсных центров (в номинации </w:t>
            </w:r>
            <w:proofErr w:type="spellStart"/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монопрофильный</w:t>
            </w:r>
            <w:proofErr w:type="spellEnd"/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24" w:type="dxa"/>
            <w:vAlign w:val="center"/>
          </w:tcPr>
          <w:p w:rsidR="00AF2505" w:rsidRPr="00C37A8D" w:rsidRDefault="00AF2505" w:rsidP="00AF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5980" w:type="dxa"/>
          </w:tcPr>
          <w:p w:rsidR="00F75106" w:rsidRPr="00F75106" w:rsidRDefault="00575BAA" w:rsidP="00F7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отчётном периоде Молодёжным ресурсным центром по поддержке добровольчества МБУ «Вариант» продолжается реализация гранта Губернатора ХМАО – Югры для ресурсных </w:t>
            </w:r>
            <w:r w:rsidRPr="00F7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центров (в номинации </w:t>
            </w:r>
            <w:proofErr w:type="spellStart"/>
            <w:r w:rsidRPr="00F7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монопрофильный</w:t>
            </w:r>
            <w:proofErr w:type="spellEnd"/>
            <w:r w:rsidRPr="00F7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 2022-2023 годы</w:t>
            </w:r>
          </w:p>
        </w:tc>
      </w:tr>
      <w:tr w:rsidR="00AF2505" w:rsidRPr="00C37A8D" w:rsidTr="00E42139">
        <w:tc>
          <w:tcPr>
            <w:tcW w:w="776" w:type="dxa"/>
            <w:vAlign w:val="center"/>
          </w:tcPr>
          <w:p w:rsidR="00AF2505" w:rsidRPr="00C37A8D" w:rsidRDefault="00CA3FBF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F2505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AF2505" w:rsidRPr="00C37A8D" w:rsidRDefault="00AF2505" w:rsidP="00E42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специализированного раздела «Социальное предпринимательство» на Инвестиционном портале города</w:t>
            </w:r>
          </w:p>
        </w:tc>
        <w:tc>
          <w:tcPr>
            <w:tcW w:w="2824" w:type="dxa"/>
            <w:vAlign w:val="center"/>
          </w:tcPr>
          <w:p w:rsidR="00AF2505" w:rsidRPr="00C37A8D" w:rsidRDefault="00AF2505" w:rsidP="00AF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</w:tcPr>
          <w:p w:rsidR="00CA3FBF" w:rsidRPr="00F75106" w:rsidRDefault="000078B1" w:rsidP="00AF25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106">
              <w:rPr>
                <w:rFonts w:ascii="Times New Roman" w:hAnsi="Times New Roman"/>
                <w:sz w:val="28"/>
                <w:szCs w:val="28"/>
                <w:lang w:eastAsia="ru-RU"/>
              </w:rPr>
              <w:t>На Инвестиционном портале города создан и вед</w:t>
            </w:r>
            <w:r w:rsidR="00CA3FBF" w:rsidRPr="00F75106">
              <w:rPr>
                <w:rFonts w:ascii="Times New Roman" w:hAnsi="Times New Roman"/>
                <w:sz w:val="28"/>
                <w:szCs w:val="28"/>
                <w:lang w:eastAsia="ru-RU"/>
              </w:rPr>
              <w:t>ется специализированный раздел «Социальное предпринимательство»</w:t>
            </w:r>
            <w:r w:rsidRPr="00F75106">
              <w:rPr>
                <w:rFonts w:ascii="Times New Roman" w:hAnsi="Times New Roman"/>
                <w:sz w:val="28"/>
                <w:szCs w:val="28"/>
                <w:lang w:eastAsia="ru-RU"/>
              </w:rPr>
              <w:t>, в котором заинтересованные субъекты могут получить информацию</w:t>
            </w:r>
            <w:r w:rsidR="00CA3FBF" w:rsidRPr="00F751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процедуре получения статуса «социальное предприятие»</w:t>
            </w:r>
            <w:r w:rsidR="006B6577" w:rsidRPr="00F75106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75106" w:rsidRPr="00F75106" w:rsidRDefault="00F75106" w:rsidP="00F7510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106">
              <w:rPr>
                <w:rFonts w:ascii="Times New Roman" w:hAnsi="Times New Roman"/>
                <w:sz w:val="28"/>
                <w:szCs w:val="28"/>
                <w:lang w:eastAsia="ru-RU"/>
              </w:rPr>
              <w:t>http://invest.admsurgut.ru/list_item/1/vse-o-tom-kak-poluchit-status-sotsialnoe-predprinimatelstvo-v-iugre</w:t>
            </w:r>
          </w:p>
        </w:tc>
      </w:tr>
    </w:tbl>
    <w:p w:rsidR="003C6A23" w:rsidRPr="00C37A8D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750" w:rsidRPr="00C37A8D" w:rsidRDefault="00E77750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37A1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7A1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7A1" w:rsidRPr="007C3538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538">
        <w:rPr>
          <w:rFonts w:ascii="Times New Roman" w:hAnsi="Times New Roman" w:cs="Times New Roman"/>
          <w:sz w:val="28"/>
          <w:szCs w:val="28"/>
        </w:rPr>
        <w:t xml:space="preserve">Исполнение целевых показателей плана мероприятий («дорожной карты»)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в городе Сургуте на 2021 - 2025 годы </w:t>
      </w:r>
    </w:p>
    <w:p w:rsidR="00E77750" w:rsidRPr="007C3538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53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C3538" w:rsidRPr="007C3538">
        <w:rPr>
          <w:rFonts w:ascii="Times New Roman" w:hAnsi="Times New Roman" w:cs="Times New Roman"/>
          <w:sz w:val="28"/>
          <w:szCs w:val="28"/>
        </w:rPr>
        <w:t>3</w:t>
      </w:r>
      <w:r w:rsidR="00C05A32">
        <w:rPr>
          <w:rFonts w:ascii="Times New Roman" w:hAnsi="Times New Roman" w:cs="Times New Roman"/>
          <w:sz w:val="28"/>
          <w:szCs w:val="28"/>
        </w:rPr>
        <w:t>0</w:t>
      </w:r>
      <w:r w:rsidRPr="007C3538">
        <w:rPr>
          <w:rFonts w:ascii="Times New Roman" w:hAnsi="Times New Roman" w:cs="Times New Roman"/>
          <w:sz w:val="28"/>
          <w:szCs w:val="28"/>
        </w:rPr>
        <w:t>.0</w:t>
      </w:r>
      <w:r w:rsidR="00C05A32">
        <w:rPr>
          <w:rFonts w:ascii="Times New Roman" w:hAnsi="Times New Roman" w:cs="Times New Roman"/>
          <w:sz w:val="28"/>
          <w:szCs w:val="28"/>
        </w:rPr>
        <w:t>6</w:t>
      </w:r>
      <w:r w:rsidRPr="007C3538">
        <w:rPr>
          <w:rFonts w:ascii="Times New Roman" w:hAnsi="Times New Roman" w:cs="Times New Roman"/>
          <w:sz w:val="28"/>
          <w:szCs w:val="28"/>
        </w:rPr>
        <w:t>.2023</w:t>
      </w:r>
    </w:p>
    <w:p w:rsidR="00E77750" w:rsidRPr="004F6566" w:rsidRDefault="00E77750" w:rsidP="003C6A23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4999" w:type="dxa"/>
        <w:tblLook w:val="04A0" w:firstRow="1" w:lastRow="0" w:firstColumn="1" w:lastColumn="0" w:noHBand="0" w:noVBand="1"/>
      </w:tblPr>
      <w:tblGrid>
        <w:gridCol w:w="960"/>
        <w:gridCol w:w="7399"/>
        <w:gridCol w:w="2740"/>
        <w:gridCol w:w="1780"/>
        <w:gridCol w:w="2120"/>
      </w:tblGrid>
      <w:tr w:rsidR="00FF37A1" w:rsidRPr="004F6566" w:rsidTr="007C3538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013DD5" w:rsidRDefault="00FF37A1" w:rsidP="0001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13DD5"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план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7A1" w:rsidRPr="00013DD5" w:rsidRDefault="00FF37A1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Исполнение </w:t>
            </w:r>
            <w:r w:rsidR="008179F1"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16D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916D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.2023</w:t>
            </w:r>
          </w:p>
        </w:tc>
      </w:tr>
      <w:tr w:rsidR="00FF37A1" w:rsidRPr="004F6566" w:rsidTr="007C3538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3DD5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013DD5" w:rsidRDefault="00013DD5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ресурсного центра развития социально ориентированных некоммерческих организаций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F37A1" w:rsidRPr="004F6566" w:rsidTr="00FF37A1">
        <w:trPr>
          <w:trHeight w:val="6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92" w:rsidRPr="00D40A92" w:rsidRDefault="00D40A92" w:rsidP="00D40A92">
            <w:pPr>
              <w:tabs>
                <w:tab w:val="left" w:pos="510"/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волонтерских объединений, действующих </w:t>
            </w:r>
          </w:p>
          <w:p w:rsidR="00FF37A1" w:rsidRPr="00D40A92" w:rsidRDefault="00D40A92" w:rsidP="00D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FF37A1" w:rsidRPr="004F6566" w:rsidTr="007C3538">
        <w:trPr>
          <w:trHeight w:val="9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D40A92" w:rsidRDefault="00D40A92" w:rsidP="00C0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социально ориентированных некоммерческих организаций (далее – СОНКО), осуществляющих деятельность 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7A1" w:rsidRPr="00B56FD9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</w:tr>
      <w:tr w:rsidR="00FF37A1" w:rsidRPr="004F6566" w:rsidTr="007C3538">
        <w:trPr>
          <w:trHeight w:val="9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СОНКО, оказывающих услуги (выполняющих работы) социальной сферы на территории города, получивших финансовую поддержку из бюджета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4F656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7A1" w:rsidRPr="00B56FD9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FF37A1" w:rsidRPr="004F6566" w:rsidTr="007C3538">
        <w:trPr>
          <w:trHeight w:val="1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организаций, оказывающих услуги (выполняющих работы) социальной сферы в муниципальном образовании автономного округа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FF37A1" w:rsidRPr="00B56FD9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  <w:p w:rsidR="00FF37A1" w:rsidRPr="00B56FD9" w:rsidRDefault="00FF37A1" w:rsidP="00FF37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F37A1" w:rsidRPr="004F6566" w:rsidTr="007C3538">
        <w:trPr>
          <w:trHeight w:val="12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D40A92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организаций, оказывающих услуги (выполняющих работы) социальной сферы, получивших финансовую поддержку из бюджета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FF37A1" w:rsidRPr="004F6566" w:rsidTr="00D40A92">
        <w:trPr>
          <w:trHeight w:val="16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 получивших финансовую поддержку из бюджета города на реализацию проектов в сфере внутреннего и въездного туризма, в том числе этнографического, событийного туризма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6511A6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7734C1">
        <w:trPr>
          <w:trHeight w:val="200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D40A92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граждан (в том числе зарегистрированных в качестве плательщиков налога на профессиональный доход), индивидуальных предпринимателей, юридических лиц, включенных в Реестр субъектов креативных индустрий в автономном округе, и осуществляющих деятельность на территории города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CD703E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FF37A1" w:rsidRPr="004F6566" w:rsidTr="00D40A92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2" w:rsidRPr="00D40A92" w:rsidRDefault="00D40A92" w:rsidP="00D40A92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числе, осуществляющих креативную деятельность </w:t>
            </w:r>
          </w:p>
          <w:p w:rsidR="00FF37A1" w:rsidRPr="00D40A92" w:rsidRDefault="00D40A92" w:rsidP="00D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социальной сфере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CD703E" w:rsidRDefault="00FF37A1" w:rsidP="00D4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40A92"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FF37A1" w:rsidRPr="004F6566" w:rsidTr="00D40A92">
        <w:trPr>
          <w:trHeight w:val="10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D40A92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некоммерческих организаций – исполнителей общественно-полезных услуг, осуществляющих деятельность 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C6BE9"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40A92" w:rsidRPr="004F6566" w:rsidTr="00D40A92">
        <w:trPr>
          <w:trHeight w:val="70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D40A92" w:rsidP="007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2" w:rsidRPr="00D40A92" w:rsidRDefault="00D40A92" w:rsidP="00D40A92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Факты получения гражданами услуг (работ) </w:t>
            </w:r>
          </w:p>
          <w:p w:rsidR="00D40A92" w:rsidRPr="00D40A92" w:rsidRDefault="00D40A92" w:rsidP="00D40A92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негосударственных (немуниципальных) поставщиков </w:t>
            </w:r>
          </w:p>
          <w:p w:rsidR="00D40A92" w:rsidRPr="00D40A92" w:rsidRDefault="00D40A92" w:rsidP="00D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социальной сфере, в общей численности фактов получения гражданами услуг (работ) в социальной сфере: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D40A92" w:rsidP="00D4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7 129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A92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6 608</w:t>
            </w:r>
          </w:p>
        </w:tc>
      </w:tr>
      <w:tr w:rsidR="00D40A92" w:rsidRPr="004F6566" w:rsidTr="00D40A92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D40A92" w:rsidP="00D4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A92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4 546</w:t>
            </w:r>
          </w:p>
        </w:tc>
      </w:tr>
      <w:tr w:rsidR="00D40A92" w:rsidRPr="004F6566" w:rsidTr="00804D4A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A92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</w:tr>
      <w:tr w:rsidR="00D40A92" w:rsidRPr="004F6566" w:rsidTr="00804D4A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A92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</w:tr>
      <w:tr w:rsidR="00D40A92" w:rsidRPr="004F6566" w:rsidTr="00804D4A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A92" w:rsidRPr="00CD703E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A92" w:rsidRPr="00B56FD9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F37A1" w:rsidRPr="004F6566" w:rsidTr="007C3538">
        <w:trPr>
          <w:trHeight w:val="9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перечня муниципального имущества, предназначенного для передачи во владение (пользование) СОНКО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7C3538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D40A92" w:rsidP="009128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помещений, переданных во владение (пользование) СОНКО в течение года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706,1</w:t>
            </w:r>
          </w:p>
        </w:tc>
      </w:tr>
      <w:tr w:rsidR="00FF37A1" w:rsidRPr="004F6566" w:rsidTr="007C3538">
        <w:trPr>
          <w:trHeight w:val="15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2" w:rsidRPr="0091281A" w:rsidRDefault="00D40A92" w:rsidP="00912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помещений, фактически переданных во владение (пользование) СОНКО, в общей площади помещений, включенных в перечень муниципального имущества, предназначенного для передачи во владение (пользование) </w:t>
            </w:r>
          </w:p>
          <w:p w:rsidR="00FF37A1" w:rsidRPr="0091281A" w:rsidRDefault="00D40A92" w:rsidP="0091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СОНКО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7 349,50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192,6</w:t>
            </w:r>
          </w:p>
        </w:tc>
      </w:tr>
      <w:tr w:rsidR="00FF37A1" w:rsidRPr="004F6566" w:rsidTr="0091281A">
        <w:trPr>
          <w:trHeight w:val="9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91281A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отдельного перечня муниципального имущества, предназначенного для передачи во владение (пользование) субъектам малого и среднего предпринимательства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91281A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91281A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помещений, переданных во владение (пользование) социальным предпринимателям в течение года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6511A6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91281A">
        <w:trPr>
          <w:trHeight w:val="16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91281A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площади помещений, переданных во владение (пользование) социальным предпринимателям, в общей площади помещений, переданных во владение (пользование) субъектам малого и среднего предпринимательства, из них: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</w:t>
            </w:r>
          </w:p>
        </w:tc>
      </w:tr>
      <w:tr w:rsidR="00FF37A1" w:rsidRPr="004F6566" w:rsidTr="00FF37A1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91281A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F594C"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3571,4</w:t>
            </w:r>
          </w:p>
        </w:tc>
      </w:tr>
      <w:tr w:rsidR="00FF37A1" w:rsidRPr="004F6566" w:rsidTr="007C3538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91281A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предприниматели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F594C"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3 115,3</w:t>
            </w:r>
          </w:p>
        </w:tc>
      </w:tr>
      <w:tr w:rsidR="00DC736E" w:rsidRPr="004F6566" w:rsidTr="007C3538">
        <w:trPr>
          <w:trHeight w:val="231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E" w:rsidRPr="007C3538" w:rsidRDefault="00DC736E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организаций, заключивших договоры аренды (в том числе почасовой аренды) площади помещений 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учреждений на льготной или коммерческой основе, в том числе: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E" w:rsidRPr="006511A6" w:rsidRDefault="00DC736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E" w:rsidRPr="00CD703E" w:rsidRDefault="00DC736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36E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DC736E" w:rsidRPr="004F6566" w:rsidTr="007C3538">
        <w:trPr>
          <w:trHeight w:val="33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СОНКО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916D8C" w:rsidRDefault="00916D8C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C736E" w:rsidRPr="004F6566" w:rsidTr="007C3538">
        <w:trPr>
          <w:trHeight w:val="61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СОНКО, заключивших договоры почасовой аренды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916D8C" w:rsidRDefault="00916D8C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C736E" w:rsidRPr="004F6566" w:rsidTr="007C3538">
        <w:trPr>
          <w:trHeight w:val="31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социальных предпринимателей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916D8C" w:rsidRDefault="006511A6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736E" w:rsidRPr="004F6566" w:rsidTr="007C3538">
        <w:trPr>
          <w:trHeight w:val="64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социальных предпринимателей, заключивших договоры почасовой аренды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916D8C" w:rsidRDefault="00916D8C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FF37A1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4F6566" w:rsidRDefault="004F1A76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размер льготы социально ориентированным некоммерческим организациям при предоставлении недвижимого имущества в аренду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FF37A1" w:rsidRPr="004F6566" w:rsidTr="00FF37A1">
        <w:trPr>
          <w:trHeight w:val="340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ассигнований бюджета города, направляемых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предоставление субсидий на реализацию мероприятий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формированию инфраструктуры поддержки СОНКО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социальных предпринимателей, включая ресурсные центры СОНКО, центры инноваций социальной сферы, добровольческие центры (без учета ассигнований, предоставленных из бюджета автономного округа бюджету муниципального образования автономного округа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реализацию соответствующих мероприятий), </w:t>
            </w:r>
          </w:p>
          <w:p w:rsidR="00FF37A1" w:rsidRPr="004F6566" w:rsidRDefault="004F1A76" w:rsidP="004F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общем объеме расходов бюджета муниципального образования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FF37A1" w:rsidP="004F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  <w:r w:rsidR="004F1A76"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6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0,030</w:t>
            </w:r>
          </w:p>
        </w:tc>
      </w:tr>
      <w:tr w:rsidR="00FF37A1" w:rsidRPr="004F6566" w:rsidTr="00FF37A1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4F656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4F1A7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бюджета на предоставление субсидий СО НКО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 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4F1A76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4 420,4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7A1" w:rsidRPr="00916D8C" w:rsidRDefault="00916D8C" w:rsidP="00F1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4855</w:t>
            </w:r>
          </w:p>
        </w:tc>
      </w:tr>
      <w:tr w:rsidR="00FF37A1" w:rsidRPr="004F6566" w:rsidTr="007734C1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4F656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4F1A7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расходов бюджета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4F1A76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40 670 289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7A1" w:rsidRPr="00916D8C" w:rsidRDefault="00916D8C" w:rsidP="00F1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16433461</w:t>
            </w:r>
          </w:p>
        </w:tc>
      </w:tr>
      <w:tr w:rsidR="007734C1" w:rsidRPr="004F6566" w:rsidTr="007734C1">
        <w:trPr>
          <w:trHeight w:val="19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7C3538" w:rsidRDefault="007734C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6566" w:rsidRDefault="007734C1" w:rsidP="004F1A76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средств бюджета города, выделенных негосударственным (немуниципальным) организациям, в том числе СОНКО, на предоставление услуг (работ), в общем объеме средств бюджета города, выделенных на предоставление услуг (работ) в социальной сфере (всего), из них: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6511A6" w:rsidRDefault="007734C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 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7734C1" w:rsidP="00E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446 717,6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C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170 652,7</w:t>
            </w:r>
          </w:p>
        </w:tc>
      </w:tr>
      <w:tr w:rsidR="007734C1" w:rsidRPr="004F6566" w:rsidTr="007734C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1A7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E657F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435 422,6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4C1" w:rsidRPr="00916D8C" w:rsidRDefault="00916D8C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164125,4</w:t>
            </w:r>
          </w:p>
        </w:tc>
      </w:tr>
      <w:tr w:rsidR="007734C1" w:rsidRPr="004F6566" w:rsidTr="007734C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1A7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E657F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2 415,3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C1" w:rsidRPr="00916D8C" w:rsidRDefault="00916D8C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1415,3</w:t>
            </w:r>
          </w:p>
        </w:tc>
      </w:tr>
      <w:tr w:rsidR="007734C1" w:rsidRPr="004F6566" w:rsidTr="007734C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1A7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7734C1" w:rsidP="00E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8 879,</w:t>
            </w:r>
            <w:r w:rsidR="00E657F8"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C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5112,0</w:t>
            </w:r>
          </w:p>
        </w:tc>
      </w:tr>
      <w:tr w:rsidR="007734C1" w:rsidRPr="004F6566" w:rsidTr="007734C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4C1" w:rsidRPr="00E657F8" w:rsidRDefault="007734C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4C1" w:rsidRPr="00B56FD9" w:rsidRDefault="007734C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F37A1" w:rsidRPr="004F6566" w:rsidTr="007C3538">
        <w:trPr>
          <w:trHeight w:val="25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76" w:rsidRPr="006511A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средств бюджета города, выделяемых</w:t>
            </w:r>
          </w:p>
          <w:p w:rsidR="00FF37A1" w:rsidRPr="006511A6" w:rsidRDefault="004F1A76" w:rsidP="004F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негосударственным организациям, в том числе социально ориентированным некоммерческим организациям, индивидуальным предпринимателям на предоставление услуг (работ) в сфере образования, культуры и туризма, физической культуры и спорта, в общем объеме средств бюджета города, выделяемых на предоставление услуг в социальной сфере: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F37A1" w:rsidRPr="004F6566" w:rsidTr="00916D8C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FF37A1" w:rsidRPr="004F6566" w:rsidTr="00916D8C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916D8C" w:rsidRDefault="00916D8C" w:rsidP="006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F37A1" w:rsidRPr="004F6566" w:rsidTr="00916D8C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916D8C" w:rsidRDefault="00916D8C" w:rsidP="006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F37A1" w:rsidRPr="004F6566" w:rsidTr="00FF37A1">
        <w:trPr>
          <w:trHeight w:val="29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93" w:rsidRPr="00C34493" w:rsidRDefault="00C34493" w:rsidP="00C34493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немуниципальных организаций (коммерческих, некоммерческих), реализующих дополнительные общеобразовательные программы, получивших поддержку </w:t>
            </w:r>
          </w:p>
          <w:p w:rsidR="00FF37A1" w:rsidRPr="004F6566" w:rsidRDefault="00C34493" w:rsidP="00C34493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средств регионального и муниципальных бюджетов (в форме возмещения затрат поставщиков образовательных услуг, включенных в реестр поставщиков услуг дополнительного образования, по договорам об обучении, заключенным между родителями (законными представителями) детей и поставщиками образовательных услуг),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C3449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6511A6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</w:tr>
      <w:tr w:rsidR="00FF37A1" w:rsidRPr="004F6566" w:rsidTr="00FF37A1">
        <w:trPr>
          <w:trHeight w:val="168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4F6566" w:rsidRDefault="00FF37A1" w:rsidP="00C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4493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4F6566" w:rsidRDefault="00C3449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C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C34493"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916D8C"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F37A1" w:rsidRPr="004F6566" w:rsidTr="00FF37A1">
        <w:trPr>
          <w:trHeight w:val="99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4F656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 дошкольного возраста, посещающих частные дошкольные образовательные организации на территории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C3449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1 578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6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1 374</w:t>
            </w:r>
          </w:p>
        </w:tc>
      </w:tr>
      <w:tr w:rsidR="00FF37A1" w:rsidRPr="004F6566" w:rsidTr="00FF37A1">
        <w:trPr>
          <w:trHeight w:val="83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4F656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детей дошкольного возраста, посещающих муниципальные дошкольные организации на территории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C3449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28 768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28 954</w:t>
            </w:r>
          </w:p>
        </w:tc>
      </w:tr>
      <w:tr w:rsidR="00FF37A1" w:rsidRPr="004F6566" w:rsidTr="00C34493">
        <w:trPr>
          <w:trHeight w:val="155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34493" w:rsidRDefault="00FF37A1" w:rsidP="00C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4493"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C34493" w:rsidRDefault="00C3449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предпринимательства, зарегистрированных на территории города: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C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34493" w:rsidRPr="00E6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FF37A1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0C6BE9"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16D8C"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F37A1" w:rsidRPr="004F6566" w:rsidTr="00FF37A1">
        <w:trPr>
          <w:trHeight w:val="121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субъектов малого и среднего предпринимательства, имеющих статус социального предприятия, осуществляющих деятельность 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C3449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0C6BE9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16D8C"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F37A1" w:rsidRPr="004F6566" w:rsidTr="007734C1">
        <w:trPr>
          <w:trHeight w:val="8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субъектов малого и среднего предпринимательства, зарегистрированных 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C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  <w:r w:rsidR="00C34493"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FF37A1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36429A"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6D8C"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004</w:t>
            </w:r>
          </w:p>
        </w:tc>
      </w:tr>
      <w:tr w:rsidR="00FF37A1" w:rsidRPr="004F6566" w:rsidTr="007734C1">
        <w:trPr>
          <w:trHeight w:val="2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4493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муниципальной программы (подпрограммы) по поддержке социально ориентированных некоммерческих</w:t>
            </w: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организаций (предусматривающих финансирование мероприятий по поддержке социально ориентированных некоммерческих организаций и имеющих подтверждение кассового исполнения указанных мероприятий в отчетном году)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34493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7734C1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4493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мер по поддержке социального предпринимательства в рамках муниципальных программ (получивших финансирование и имеющих кассовое исполнение в отчетном году)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34493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FF37A1">
        <w:trPr>
          <w:trHeight w:val="25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C34493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теле- и радио эфирного времени,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предпринимателей, обеспечения</w:t>
            </w: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доступа негосударственных (немуниципальных) организаций к предоставлению услуг (работ) в социальной сфере, из них: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информации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0100B5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37A1" w:rsidRPr="004F6566" w:rsidTr="00FF37A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телеэфире,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C3449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F37A1" w:rsidRPr="004F6566" w:rsidTr="00FF37A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радиоэфире,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C3449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37A1" w:rsidRPr="004F6566" w:rsidTr="00FF37A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печатных СМИ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полос/знаков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C3449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21/400 000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7A1" w:rsidRPr="00916D8C" w:rsidRDefault="00916D8C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100B5"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00B5" w:rsidRPr="0091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</w:t>
            </w:r>
          </w:p>
        </w:tc>
      </w:tr>
      <w:tr w:rsidR="00FF37A1" w:rsidRPr="004F6566" w:rsidTr="007C3538">
        <w:trPr>
          <w:trHeight w:val="19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7C3538" w:rsidRDefault="007C3538" w:rsidP="007C3538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</w:t>
            </w:r>
            <w:proofErr w:type="spellStart"/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Грантгубернатора.рф</w:t>
            </w:r>
            <w:proofErr w:type="spellEnd"/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7C353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37A1" w:rsidRPr="00FF37A1" w:rsidTr="007C3538">
        <w:trPr>
          <w:trHeight w:val="22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7C353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38" w:rsidRPr="007C3538" w:rsidRDefault="007C3538" w:rsidP="007C3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некоммерческими организациями проектов, программ по укреплению межнационального </w:t>
            </w:r>
          </w:p>
          <w:p w:rsidR="00FF37A1" w:rsidRPr="007C3538" w:rsidRDefault="007C3538" w:rsidP="007C3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916D8C" w:rsidRDefault="00916D8C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3538" w:rsidRPr="007C3538" w:rsidRDefault="007C3538" w:rsidP="007C3538">
      <w:pPr>
        <w:autoSpaceDE w:val="0"/>
        <w:autoSpaceDN w:val="0"/>
        <w:adjustRightInd w:val="0"/>
        <w:ind w:right="-4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* показатель в соответствии с рейтингом муниципальных образований Ханты-Мансийского автономного округа – Югры по итогам реализации механизмов поддержки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3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сфере, утвержденным распоряжением Правительства автономного округа от 19.05.2017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3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292-рп.</w:t>
      </w:r>
    </w:p>
    <w:p w:rsidR="007C3538" w:rsidRPr="00C37A8D" w:rsidRDefault="007C3538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C3538" w:rsidRPr="00C37A8D" w:rsidSect="008752E6">
      <w:footerReference w:type="default" r:id="rId7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78" w:rsidRDefault="00753B78" w:rsidP="008752E6">
      <w:pPr>
        <w:spacing w:after="0" w:line="240" w:lineRule="auto"/>
      </w:pPr>
      <w:r>
        <w:separator/>
      </w:r>
    </w:p>
  </w:endnote>
  <w:endnote w:type="continuationSeparator" w:id="0">
    <w:p w:rsidR="00753B78" w:rsidRDefault="00753B78" w:rsidP="0087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084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3B78" w:rsidRPr="00FF37A1" w:rsidRDefault="00753B78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F37A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37A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37A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6D8C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FF37A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3B78" w:rsidRDefault="00753B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78" w:rsidRDefault="00753B78" w:rsidP="008752E6">
      <w:pPr>
        <w:spacing w:after="0" w:line="240" w:lineRule="auto"/>
      </w:pPr>
      <w:r>
        <w:separator/>
      </w:r>
    </w:p>
  </w:footnote>
  <w:footnote w:type="continuationSeparator" w:id="0">
    <w:p w:rsidR="00753B78" w:rsidRDefault="00753B78" w:rsidP="00875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3"/>
    <w:rsid w:val="00000DAA"/>
    <w:rsid w:val="0000374E"/>
    <w:rsid w:val="000078B1"/>
    <w:rsid w:val="00007BA9"/>
    <w:rsid w:val="000100B5"/>
    <w:rsid w:val="000108B1"/>
    <w:rsid w:val="00011CD7"/>
    <w:rsid w:val="00013254"/>
    <w:rsid w:val="00013DD5"/>
    <w:rsid w:val="000146B0"/>
    <w:rsid w:val="00014FBC"/>
    <w:rsid w:val="000162D1"/>
    <w:rsid w:val="00017756"/>
    <w:rsid w:val="00017AA5"/>
    <w:rsid w:val="00022D2A"/>
    <w:rsid w:val="00022D6B"/>
    <w:rsid w:val="00027BA3"/>
    <w:rsid w:val="00031223"/>
    <w:rsid w:val="00034EF1"/>
    <w:rsid w:val="0003529A"/>
    <w:rsid w:val="00035782"/>
    <w:rsid w:val="0003748D"/>
    <w:rsid w:val="0004039D"/>
    <w:rsid w:val="00041DD7"/>
    <w:rsid w:val="00046938"/>
    <w:rsid w:val="0004752E"/>
    <w:rsid w:val="0005477F"/>
    <w:rsid w:val="0006335A"/>
    <w:rsid w:val="00065909"/>
    <w:rsid w:val="000659E0"/>
    <w:rsid w:val="000660CF"/>
    <w:rsid w:val="0007071C"/>
    <w:rsid w:val="00071102"/>
    <w:rsid w:val="000711E8"/>
    <w:rsid w:val="000734BC"/>
    <w:rsid w:val="000829F3"/>
    <w:rsid w:val="00086CEF"/>
    <w:rsid w:val="00090D0C"/>
    <w:rsid w:val="0009122E"/>
    <w:rsid w:val="000913EC"/>
    <w:rsid w:val="00096050"/>
    <w:rsid w:val="000962A7"/>
    <w:rsid w:val="000A3635"/>
    <w:rsid w:val="000A663D"/>
    <w:rsid w:val="000B0E3F"/>
    <w:rsid w:val="000B2DA5"/>
    <w:rsid w:val="000B3CBF"/>
    <w:rsid w:val="000B5360"/>
    <w:rsid w:val="000B6A8A"/>
    <w:rsid w:val="000C1FE1"/>
    <w:rsid w:val="000C243C"/>
    <w:rsid w:val="000C51DA"/>
    <w:rsid w:val="000C6BE9"/>
    <w:rsid w:val="000D0FE3"/>
    <w:rsid w:val="000D1174"/>
    <w:rsid w:val="000D7913"/>
    <w:rsid w:val="000E1D2E"/>
    <w:rsid w:val="000E23C4"/>
    <w:rsid w:val="000E67BB"/>
    <w:rsid w:val="000E761E"/>
    <w:rsid w:val="000F11DB"/>
    <w:rsid w:val="000F3EC8"/>
    <w:rsid w:val="001006B2"/>
    <w:rsid w:val="00105168"/>
    <w:rsid w:val="00107AD7"/>
    <w:rsid w:val="00107C4A"/>
    <w:rsid w:val="00107E43"/>
    <w:rsid w:val="001152C5"/>
    <w:rsid w:val="001223B6"/>
    <w:rsid w:val="001254D3"/>
    <w:rsid w:val="001273AF"/>
    <w:rsid w:val="00133429"/>
    <w:rsid w:val="001361B9"/>
    <w:rsid w:val="00136255"/>
    <w:rsid w:val="0013631A"/>
    <w:rsid w:val="0014073A"/>
    <w:rsid w:val="00146D1B"/>
    <w:rsid w:val="00150EFA"/>
    <w:rsid w:val="00152180"/>
    <w:rsid w:val="00160AEF"/>
    <w:rsid w:val="001652B7"/>
    <w:rsid w:val="0016610C"/>
    <w:rsid w:val="00170897"/>
    <w:rsid w:val="0017239B"/>
    <w:rsid w:val="00177113"/>
    <w:rsid w:val="001807F8"/>
    <w:rsid w:val="001812B9"/>
    <w:rsid w:val="00181A48"/>
    <w:rsid w:val="00185273"/>
    <w:rsid w:val="0019039A"/>
    <w:rsid w:val="00190ED5"/>
    <w:rsid w:val="00192423"/>
    <w:rsid w:val="001942F8"/>
    <w:rsid w:val="00195C97"/>
    <w:rsid w:val="00197ACC"/>
    <w:rsid w:val="001A0F83"/>
    <w:rsid w:val="001A1B27"/>
    <w:rsid w:val="001A54FC"/>
    <w:rsid w:val="001B0107"/>
    <w:rsid w:val="001B0ABD"/>
    <w:rsid w:val="001C7D13"/>
    <w:rsid w:val="001D1F2B"/>
    <w:rsid w:val="001D57E3"/>
    <w:rsid w:val="001D5F04"/>
    <w:rsid w:val="001D7183"/>
    <w:rsid w:val="001E2A3E"/>
    <w:rsid w:val="001E57C5"/>
    <w:rsid w:val="001E7240"/>
    <w:rsid w:val="00216F7A"/>
    <w:rsid w:val="00220AB7"/>
    <w:rsid w:val="0022258C"/>
    <w:rsid w:val="00223811"/>
    <w:rsid w:val="00223DF4"/>
    <w:rsid w:val="0022458C"/>
    <w:rsid w:val="00225FA2"/>
    <w:rsid w:val="00232343"/>
    <w:rsid w:val="00232FDC"/>
    <w:rsid w:val="00236452"/>
    <w:rsid w:val="00236C0A"/>
    <w:rsid w:val="0024190E"/>
    <w:rsid w:val="002447D7"/>
    <w:rsid w:val="00247886"/>
    <w:rsid w:val="002526BB"/>
    <w:rsid w:val="00253B01"/>
    <w:rsid w:val="002542C7"/>
    <w:rsid w:val="00254AE6"/>
    <w:rsid w:val="00255277"/>
    <w:rsid w:val="00256361"/>
    <w:rsid w:val="00257362"/>
    <w:rsid w:val="00265250"/>
    <w:rsid w:val="0027179E"/>
    <w:rsid w:val="00274FA5"/>
    <w:rsid w:val="00277B90"/>
    <w:rsid w:val="00277ED5"/>
    <w:rsid w:val="0028165B"/>
    <w:rsid w:val="0028180E"/>
    <w:rsid w:val="00281C70"/>
    <w:rsid w:val="0028468B"/>
    <w:rsid w:val="002855D5"/>
    <w:rsid w:val="002868FA"/>
    <w:rsid w:val="00286FFF"/>
    <w:rsid w:val="00290727"/>
    <w:rsid w:val="00294920"/>
    <w:rsid w:val="0029789F"/>
    <w:rsid w:val="002A0027"/>
    <w:rsid w:val="002A28A3"/>
    <w:rsid w:val="002A6178"/>
    <w:rsid w:val="002B0E5D"/>
    <w:rsid w:val="002B549E"/>
    <w:rsid w:val="002B6983"/>
    <w:rsid w:val="002C1981"/>
    <w:rsid w:val="002D3B3F"/>
    <w:rsid w:val="002D4108"/>
    <w:rsid w:val="002D4808"/>
    <w:rsid w:val="002D560C"/>
    <w:rsid w:val="002D7FD4"/>
    <w:rsid w:val="002E1FA2"/>
    <w:rsid w:val="002E23C3"/>
    <w:rsid w:val="002E4435"/>
    <w:rsid w:val="002E565E"/>
    <w:rsid w:val="002E5994"/>
    <w:rsid w:val="002E6735"/>
    <w:rsid w:val="002F0FCD"/>
    <w:rsid w:val="002F2F0D"/>
    <w:rsid w:val="002F47E7"/>
    <w:rsid w:val="002F5867"/>
    <w:rsid w:val="003026E4"/>
    <w:rsid w:val="00302BF2"/>
    <w:rsid w:val="003044EF"/>
    <w:rsid w:val="0030452A"/>
    <w:rsid w:val="003053A7"/>
    <w:rsid w:val="00306866"/>
    <w:rsid w:val="003125DC"/>
    <w:rsid w:val="00312E95"/>
    <w:rsid w:val="00314951"/>
    <w:rsid w:val="00314FAA"/>
    <w:rsid w:val="00323B92"/>
    <w:rsid w:val="0033073B"/>
    <w:rsid w:val="00332004"/>
    <w:rsid w:val="00342562"/>
    <w:rsid w:val="0034542C"/>
    <w:rsid w:val="0035012D"/>
    <w:rsid w:val="00350D2B"/>
    <w:rsid w:val="003527A9"/>
    <w:rsid w:val="00353FC4"/>
    <w:rsid w:val="00355EE8"/>
    <w:rsid w:val="003613D2"/>
    <w:rsid w:val="0036429A"/>
    <w:rsid w:val="00370073"/>
    <w:rsid w:val="003719C1"/>
    <w:rsid w:val="00373744"/>
    <w:rsid w:val="003778CA"/>
    <w:rsid w:val="00384C85"/>
    <w:rsid w:val="0038500A"/>
    <w:rsid w:val="00385B9D"/>
    <w:rsid w:val="00391631"/>
    <w:rsid w:val="00393225"/>
    <w:rsid w:val="00396618"/>
    <w:rsid w:val="00396782"/>
    <w:rsid w:val="003A18D8"/>
    <w:rsid w:val="003A41DA"/>
    <w:rsid w:val="003A4E2B"/>
    <w:rsid w:val="003A5ADD"/>
    <w:rsid w:val="003B3777"/>
    <w:rsid w:val="003B5B4E"/>
    <w:rsid w:val="003B63D2"/>
    <w:rsid w:val="003C4AE2"/>
    <w:rsid w:val="003C5C1B"/>
    <w:rsid w:val="003C6A23"/>
    <w:rsid w:val="003C6A36"/>
    <w:rsid w:val="003C7313"/>
    <w:rsid w:val="003C7A25"/>
    <w:rsid w:val="003D02C8"/>
    <w:rsid w:val="003D0BF1"/>
    <w:rsid w:val="003D768C"/>
    <w:rsid w:val="003E2A0A"/>
    <w:rsid w:val="003E5257"/>
    <w:rsid w:val="003F001B"/>
    <w:rsid w:val="003F138C"/>
    <w:rsid w:val="003F15EE"/>
    <w:rsid w:val="003F3B4A"/>
    <w:rsid w:val="00401ADF"/>
    <w:rsid w:val="00403E53"/>
    <w:rsid w:val="00404182"/>
    <w:rsid w:val="004159F0"/>
    <w:rsid w:val="0041678D"/>
    <w:rsid w:val="00420BDC"/>
    <w:rsid w:val="00423225"/>
    <w:rsid w:val="00426300"/>
    <w:rsid w:val="0042632D"/>
    <w:rsid w:val="0042653B"/>
    <w:rsid w:val="0042666E"/>
    <w:rsid w:val="00427BE3"/>
    <w:rsid w:val="004359ED"/>
    <w:rsid w:val="00436C75"/>
    <w:rsid w:val="00437E19"/>
    <w:rsid w:val="0044022C"/>
    <w:rsid w:val="00441182"/>
    <w:rsid w:val="00445DD8"/>
    <w:rsid w:val="004466BD"/>
    <w:rsid w:val="00450813"/>
    <w:rsid w:val="00451CCA"/>
    <w:rsid w:val="00451CD6"/>
    <w:rsid w:val="00452271"/>
    <w:rsid w:val="00454EDA"/>
    <w:rsid w:val="004604CD"/>
    <w:rsid w:val="00460B40"/>
    <w:rsid w:val="00460C9E"/>
    <w:rsid w:val="004620A6"/>
    <w:rsid w:val="004635CD"/>
    <w:rsid w:val="0046457B"/>
    <w:rsid w:val="00464981"/>
    <w:rsid w:val="00464BB3"/>
    <w:rsid w:val="00464C22"/>
    <w:rsid w:val="0046655B"/>
    <w:rsid w:val="0046710A"/>
    <w:rsid w:val="00472F24"/>
    <w:rsid w:val="0047489D"/>
    <w:rsid w:val="00474A82"/>
    <w:rsid w:val="00475F29"/>
    <w:rsid w:val="00476711"/>
    <w:rsid w:val="00480795"/>
    <w:rsid w:val="00485A42"/>
    <w:rsid w:val="0049058B"/>
    <w:rsid w:val="00490E3E"/>
    <w:rsid w:val="00493581"/>
    <w:rsid w:val="00496BD2"/>
    <w:rsid w:val="004A0623"/>
    <w:rsid w:val="004A0AF6"/>
    <w:rsid w:val="004A1461"/>
    <w:rsid w:val="004A24FD"/>
    <w:rsid w:val="004A43D7"/>
    <w:rsid w:val="004A69BE"/>
    <w:rsid w:val="004B09BA"/>
    <w:rsid w:val="004B24A8"/>
    <w:rsid w:val="004B523E"/>
    <w:rsid w:val="004B6E56"/>
    <w:rsid w:val="004B700B"/>
    <w:rsid w:val="004C00C5"/>
    <w:rsid w:val="004C0832"/>
    <w:rsid w:val="004C33B3"/>
    <w:rsid w:val="004C583F"/>
    <w:rsid w:val="004C768E"/>
    <w:rsid w:val="004D1458"/>
    <w:rsid w:val="004D2215"/>
    <w:rsid w:val="004D67B2"/>
    <w:rsid w:val="004D6AAE"/>
    <w:rsid w:val="004E0DD4"/>
    <w:rsid w:val="004E0F4A"/>
    <w:rsid w:val="004E2BAD"/>
    <w:rsid w:val="004E42D9"/>
    <w:rsid w:val="004E4519"/>
    <w:rsid w:val="004E5444"/>
    <w:rsid w:val="004E65D9"/>
    <w:rsid w:val="004F0A14"/>
    <w:rsid w:val="004F1A76"/>
    <w:rsid w:val="004F1F05"/>
    <w:rsid w:val="004F32F8"/>
    <w:rsid w:val="004F56C5"/>
    <w:rsid w:val="004F6566"/>
    <w:rsid w:val="004F79A7"/>
    <w:rsid w:val="00501591"/>
    <w:rsid w:val="005030DD"/>
    <w:rsid w:val="00510BCE"/>
    <w:rsid w:val="005116A0"/>
    <w:rsid w:val="005154BF"/>
    <w:rsid w:val="00517425"/>
    <w:rsid w:val="005213B1"/>
    <w:rsid w:val="00522BE0"/>
    <w:rsid w:val="0052358F"/>
    <w:rsid w:val="005268BF"/>
    <w:rsid w:val="00527CBC"/>
    <w:rsid w:val="00534DB8"/>
    <w:rsid w:val="00536E52"/>
    <w:rsid w:val="00545C44"/>
    <w:rsid w:val="005518BE"/>
    <w:rsid w:val="00557826"/>
    <w:rsid w:val="00560912"/>
    <w:rsid w:val="00562DAD"/>
    <w:rsid w:val="00563096"/>
    <w:rsid w:val="00564071"/>
    <w:rsid w:val="00564377"/>
    <w:rsid w:val="005645A4"/>
    <w:rsid w:val="00564ADB"/>
    <w:rsid w:val="0057253A"/>
    <w:rsid w:val="005755A6"/>
    <w:rsid w:val="00575BAA"/>
    <w:rsid w:val="00576E56"/>
    <w:rsid w:val="00577AC5"/>
    <w:rsid w:val="0058173E"/>
    <w:rsid w:val="00582EE5"/>
    <w:rsid w:val="00584F25"/>
    <w:rsid w:val="00590433"/>
    <w:rsid w:val="00592174"/>
    <w:rsid w:val="00592E9F"/>
    <w:rsid w:val="00594F93"/>
    <w:rsid w:val="00596A29"/>
    <w:rsid w:val="005A1372"/>
    <w:rsid w:val="005A4788"/>
    <w:rsid w:val="005A56BE"/>
    <w:rsid w:val="005A6D4A"/>
    <w:rsid w:val="005B0265"/>
    <w:rsid w:val="005B1B16"/>
    <w:rsid w:val="005B23C4"/>
    <w:rsid w:val="005B25AC"/>
    <w:rsid w:val="005B46C6"/>
    <w:rsid w:val="005B5B71"/>
    <w:rsid w:val="005B6542"/>
    <w:rsid w:val="005B71BF"/>
    <w:rsid w:val="005C053B"/>
    <w:rsid w:val="005C1F6B"/>
    <w:rsid w:val="005C5B95"/>
    <w:rsid w:val="005D0BDB"/>
    <w:rsid w:val="005D3DD6"/>
    <w:rsid w:val="005D7F3F"/>
    <w:rsid w:val="005E009D"/>
    <w:rsid w:val="005E327B"/>
    <w:rsid w:val="005E5B86"/>
    <w:rsid w:val="005F0B6B"/>
    <w:rsid w:val="005F4D32"/>
    <w:rsid w:val="005F6166"/>
    <w:rsid w:val="005F630C"/>
    <w:rsid w:val="00601ED5"/>
    <w:rsid w:val="006049B5"/>
    <w:rsid w:val="00606128"/>
    <w:rsid w:val="0060750A"/>
    <w:rsid w:val="00610200"/>
    <w:rsid w:val="00610F77"/>
    <w:rsid w:val="006126F3"/>
    <w:rsid w:val="0061352A"/>
    <w:rsid w:val="006164F4"/>
    <w:rsid w:val="0061748D"/>
    <w:rsid w:val="0062033B"/>
    <w:rsid w:val="00623188"/>
    <w:rsid w:val="006274E8"/>
    <w:rsid w:val="006306F8"/>
    <w:rsid w:val="00632AA5"/>
    <w:rsid w:val="00640461"/>
    <w:rsid w:val="006511A6"/>
    <w:rsid w:val="006555F9"/>
    <w:rsid w:val="00655B42"/>
    <w:rsid w:val="0065684F"/>
    <w:rsid w:val="00656A79"/>
    <w:rsid w:val="0065714E"/>
    <w:rsid w:val="00663637"/>
    <w:rsid w:val="006649F1"/>
    <w:rsid w:val="00672089"/>
    <w:rsid w:val="006726A8"/>
    <w:rsid w:val="00674EE3"/>
    <w:rsid w:val="006761D3"/>
    <w:rsid w:val="006771BD"/>
    <w:rsid w:val="00681B3A"/>
    <w:rsid w:val="00690A16"/>
    <w:rsid w:val="0069192F"/>
    <w:rsid w:val="00691A3B"/>
    <w:rsid w:val="0069218E"/>
    <w:rsid w:val="00694AD5"/>
    <w:rsid w:val="006A360A"/>
    <w:rsid w:val="006A50BE"/>
    <w:rsid w:val="006A542C"/>
    <w:rsid w:val="006A5AD2"/>
    <w:rsid w:val="006A6565"/>
    <w:rsid w:val="006B2B69"/>
    <w:rsid w:val="006B4B3C"/>
    <w:rsid w:val="006B5478"/>
    <w:rsid w:val="006B6577"/>
    <w:rsid w:val="006B7BB3"/>
    <w:rsid w:val="006C0007"/>
    <w:rsid w:val="006C32CA"/>
    <w:rsid w:val="006C6E3C"/>
    <w:rsid w:val="006C73B7"/>
    <w:rsid w:val="006D0E28"/>
    <w:rsid w:val="006D1B1F"/>
    <w:rsid w:val="006D277D"/>
    <w:rsid w:val="006D536E"/>
    <w:rsid w:val="006E0DFC"/>
    <w:rsid w:val="006E22D3"/>
    <w:rsid w:val="006E497D"/>
    <w:rsid w:val="006E53B6"/>
    <w:rsid w:val="006E5C29"/>
    <w:rsid w:val="006F2E70"/>
    <w:rsid w:val="006F324D"/>
    <w:rsid w:val="006F593B"/>
    <w:rsid w:val="00701A62"/>
    <w:rsid w:val="00702F51"/>
    <w:rsid w:val="00703D0C"/>
    <w:rsid w:val="007071EA"/>
    <w:rsid w:val="00710EAF"/>
    <w:rsid w:val="00711E6D"/>
    <w:rsid w:val="0071463D"/>
    <w:rsid w:val="00714878"/>
    <w:rsid w:val="00715999"/>
    <w:rsid w:val="00720E1A"/>
    <w:rsid w:val="00722536"/>
    <w:rsid w:val="00724345"/>
    <w:rsid w:val="007253AC"/>
    <w:rsid w:val="00727FAA"/>
    <w:rsid w:val="007400F5"/>
    <w:rsid w:val="0074287D"/>
    <w:rsid w:val="007435A7"/>
    <w:rsid w:val="00745F67"/>
    <w:rsid w:val="00746520"/>
    <w:rsid w:val="00746E2F"/>
    <w:rsid w:val="00752186"/>
    <w:rsid w:val="00753B59"/>
    <w:rsid w:val="00753B78"/>
    <w:rsid w:val="00756155"/>
    <w:rsid w:val="007566F2"/>
    <w:rsid w:val="007567A6"/>
    <w:rsid w:val="00757B2C"/>
    <w:rsid w:val="007606A0"/>
    <w:rsid w:val="00762D9F"/>
    <w:rsid w:val="007637D2"/>
    <w:rsid w:val="00766D9C"/>
    <w:rsid w:val="007701B4"/>
    <w:rsid w:val="007703BA"/>
    <w:rsid w:val="00772AFD"/>
    <w:rsid w:val="00773466"/>
    <w:rsid w:val="007734C1"/>
    <w:rsid w:val="00774F00"/>
    <w:rsid w:val="00775D80"/>
    <w:rsid w:val="00776AE0"/>
    <w:rsid w:val="007812A0"/>
    <w:rsid w:val="007819ED"/>
    <w:rsid w:val="007843D8"/>
    <w:rsid w:val="00784EE4"/>
    <w:rsid w:val="00791B26"/>
    <w:rsid w:val="00793297"/>
    <w:rsid w:val="007933D8"/>
    <w:rsid w:val="0079405A"/>
    <w:rsid w:val="00795456"/>
    <w:rsid w:val="007A0007"/>
    <w:rsid w:val="007A09E6"/>
    <w:rsid w:val="007A3AAA"/>
    <w:rsid w:val="007A7778"/>
    <w:rsid w:val="007C0637"/>
    <w:rsid w:val="007C09E3"/>
    <w:rsid w:val="007C3538"/>
    <w:rsid w:val="007C367F"/>
    <w:rsid w:val="007D25B5"/>
    <w:rsid w:val="007D45A8"/>
    <w:rsid w:val="007E02B1"/>
    <w:rsid w:val="007E2216"/>
    <w:rsid w:val="007E528C"/>
    <w:rsid w:val="007E6BFD"/>
    <w:rsid w:val="007E7655"/>
    <w:rsid w:val="007F035D"/>
    <w:rsid w:val="007F131B"/>
    <w:rsid w:val="007F1A6C"/>
    <w:rsid w:val="007F1B80"/>
    <w:rsid w:val="007F3ABB"/>
    <w:rsid w:val="007F5963"/>
    <w:rsid w:val="0080016A"/>
    <w:rsid w:val="008015BE"/>
    <w:rsid w:val="00801DD6"/>
    <w:rsid w:val="008045E2"/>
    <w:rsid w:val="00804D4A"/>
    <w:rsid w:val="0080642E"/>
    <w:rsid w:val="00806CFB"/>
    <w:rsid w:val="00815035"/>
    <w:rsid w:val="008179F1"/>
    <w:rsid w:val="00820353"/>
    <w:rsid w:val="0082134E"/>
    <w:rsid w:val="008220B1"/>
    <w:rsid w:val="00823740"/>
    <w:rsid w:val="00825D2A"/>
    <w:rsid w:val="00826C7A"/>
    <w:rsid w:val="008318DE"/>
    <w:rsid w:val="00834BD2"/>
    <w:rsid w:val="008357B8"/>
    <w:rsid w:val="00835ECC"/>
    <w:rsid w:val="00836BC5"/>
    <w:rsid w:val="00836EAF"/>
    <w:rsid w:val="008373A0"/>
    <w:rsid w:val="00845991"/>
    <w:rsid w:val="00845A0A"/>
    <w:rsid w:val="00846B68"/>
    <w:rsid w:val="008518DD"/>
    <w:rsid w:val="0085463B"/>
    <w:rsid w:val="0085533A"/>
    <w:rsid w:val="00857774"/>
    <w:rsid w:val="00857D4F"/>
    <w:rsid w:val="00860752"/>
    <w:rsid w:val="00862F6D"/>
    <w:rsid w:val="00863760"/>
    <w:rsid w:val="00865445"/>
    <w:rsid w:val="008657D0"/>
    <w:rsid w:val="00867DEE"/>
    <w:rsid w:val="0087086A"/>
    <w:rsid w:val="008752E6"/>
    <w:rsid w:val="00880404"/>
    <w:rsid w:val="00881029"/>
    <w:rsid w:val="00881FB3"/>
    <w:rsid w:val="00884018"/>
    <w:rsid w:val="0088468B"/>
    <w:rsid w:val="00893274"/>
    <w:rsid w:val="008950C1"/>
    <w:rsid w:val="00895876"/>
    <w:rsid w:val="008A6132"/>
    <w:rsid w:val="008A7BC4"/>
    <w:rsid w:val="008B31E6"/>
    <w:rsid w:val="008D09DB"/>
    <w:rsid w:val="008D2E0E"/>
    <w:rsid w:val="008D3C5A"/>
    <w:rsid w:val="008D470D"/>
    <w:rsid w:val="008F301C"/>
    <w:rsid w:val="008F77CB"/>
    <w:rsid w:val="00901AFB"/>
    <w:rsid w:val="009048E7"/>
    <w:rsid w:val="00910572"/>
    <w:rsid w:val="00911F79"/>
    <w:rsid w:val="009123D6"/>
    <w:rsid w:val="009126C1"/>
    <w:rsid w:val="0091281A"/>
    <w:rsid w:val="00914CA9"/>
    <w:rsid w:val="00916D8C"/>
    <w:rsid w:val="00922E3C"/>
    <w:rsid w:val="00923BBB"/>
    <w:rsid w:val="00923D5F"/>
    <w:rsid w:val="009252B9"/>
    <w:rsid w:val="009259D9"/>
    <w:rsid w:val="00931F69"/>
    <w:rsid w:val="00932255"/>
    <w:rsid w:val="00934F8D"/>
    <w:rsid w:val="009451FC"/>
    <w:rsid w:val="0094700C"/>
    <w:rsid w:val="009563D1"/>
    <w:rsid w:val="00956E9C"/>
    <w:rsid w:val="00956F57"/>
    <w:rsid w:val="00957F40"/>
    <w:rsid w:val="00962B2E"/>
    <w:rsid w:val="00963FC7"/>
    <w:rsid w:val="00966BAC"/>
    <w:rsid w:val="00967B2B"/>
    <w:rsid w:val="00967F96"/>
    <w:rsid w:val="00970C92"/>
    <w:rsid w:val="009722CA"/>
    <w:rsid w:val="00974954"/>
    <w:rsid w:val="00975D48"/>
    <w:rsid w:val="00976A88"/>
    <w:rsid w:val="00981135"/>
    <w:rsid w:val="00983797"/>
    <w:rsid w:val="00986332"/>
    <w:rsid w:val="00994148"/>
    <w:rsid w:val="009945F6"/>
    <w:rsid w:val="00995F1D"/>
    <w:rsid w:val="009A042D"/>
    <w:rsid w:val="009A0C42"/>
    <w:rsid w:val="009A6B93"/>
    <w:rsid w:val="009A6F7A"/>
    <w:rsid w:val="009B52E2"/>
    <w:rsid w:val="009B60F3"/>
    <w:rsid w:val="009B6DA0"/>
    <w:rsid w:val="009B73AE"/>
    <w:rsid w:val="009B746E"/>
    <w:rsid w:val="009C303E"/>
    <w:rsid w:val="009C4175"/>
    <w:rsid w:val="009C5440"/>
    <w:rsid w:val="009C6D5D"/>
    <w:rsid w:val="009D11D5"/>
    <w:rsid w:val="009D11E5"/>
    <w:rsid w:val="009D5DD9"/>
    <w:rsid w:val="009E52C5"/>
    <w:rsid w:val="009E6C64"/>
    <w:rsid w:val="009E6D25"/>
    <w:rsid w:val="009F04E1"/>
    <w:rsid w:val="009F698C"/>
    <w:rsid w:val="00A038F8"/>
    <w:rsid w:val="00A04B63"/>
    <w:rsid w:val="00A054FE"/>
    <w:rsid w:val="00A10382"/>
    <w:rsid w:val="00A11CC2"/>
    <w:rsid w:val="00A14255"/>
    <w:rsid w:val="00A163C5"/>
    <w:rsid w:val="00A167CF"/>
    <w:rsid w:val="00A21147"/>
    <w:rsid w:val="00A24076"/>
    <w:rsid w:val="00A24288"/>
    <w:rsid w:val="00A313BA"/>
    <w:rsid w:val="00A34E15"/>
    <w:rsid w:val="00A35333"/>
    <w:rsid w:val="00A4335E"/>
    <w:rsid w:val="00A442AB"/>
    <w:rsid w:val="00A4589F"/>
    <w:rsid w:val="00A563B6"/>
    <w:rsid w:val="00A56A12"/>
    <w:rsid w:val="00A57338"/>
    <w:rsid w:val="00A61DA5"/>
    <w:rsid w:val="00A62A4F"/>
    <w:rsid w:val="00A62BA2"/>
    <w:rsid w:val="00A65757"/>
    <w:rsid w:val="00A666C5"/>
    <w:rsid w:val="00A73715"/>
    <w:rsid w:val="00A80381"/>
    <w:rsid w:val="00A83758"/>
    <w:rsid w:val="00A92B7C"/>
    <w:rsid w:val="00A93D3E"/>
    <w:rsid w:val="00A97E33"/>
    <w:rsid w:val="00AA2642"/>
    <w:rsid w:val="00AA31CE"/>
    <w:rsid w:val="00AA4983"/>
    <w:rsid w:val="00AB0B00"/>
    <w:rsid w:val="00AB1B44"/>
    <w:rsid w:val="00AB38D2"/>
    <w:rsid w:val="00AC1714"/>
    <w:rsid w:val="00AC232E"/>
    <w:rsid w:val="00AC2594"/>
    <w:rsid w:val="00AC33AF"/>
    <w:rsid w:val="00AC5651"/>
    <w:rsid w:val="00AD0785"/>
    <w:rsid w:val="00AD1732"/>
    <w:rsid w:val="00AD6AA9"/>
    <w:rsid w:val="00AD7D45"/>
    <w:rsid w:val="00AE02E4"/>
    <w:rsid w:val="00AE1E88"/>
    <w:rsid w:val="00AF00CB"/>
    <w:rsid w:val="00AF176C"/>
    <w:rsid w:val="00AF2505"/>
    <w:rsid w:val="00AF51BD"/>
    <w:rsid w:val="00AF68B6"/>
    <w:rsid w:val="00B07A24"/>
    <w:rsid w:val="00B13755"/>
    <w:rsid w:val="00B14397"/>
    <w:rsid w:val="00B15311"/>
    <w:rsid w:val="00B154CB"/>
    <w:rsid w:val="00B15659"/>
    <w:rsid w:val="00B1727F"/>
    <w:rsid w:val="00B21BB8"/>
    <w:rsid w:val="00B23787"/>
    <w:rsid w:val="00B256DA"/>
    <w:rsid w:val="00B30197"/>
    <w:rsid w:val="00B347E3"/>
    <w:rsid w:val="00B35023"/>
    <w:rsid w:val="00B36283"/>
    <w:rsid w:val="00B374D5"/>
    <w:rsid w:val="00B44E19"/>
    <w:rsid w:val="00B4581B"/>
    <w:rsid w:val="00B4698D"/>
    <w:rsid w:val="00B47345"/>
    <w:rsid w:val="00B523F9"/>
    <w:rsid w:val="00B54544"/>
    <w:rsid w:val="00B55DBC"/>
    <w:rsid w:val="00B56FD9"/>
    <w:rsid w:val="00B623CA"/>
    <w:rsid w:val="00B62F2F"/>
    <w:rsid w:val="00B72BAF"/>
    <w:rsid w:val="00B72FCB"/>
    <w:rsid w:val="00B74642"/>
    <w:rsid w:val="00B762CF"/>
    <w:rsid w:val="00B860AB"/>
    <w:rsid w:val="00B91DCC"/>
    <w:rsid w:val="00B92DDB"/>
    <w:rsid w:val="00B9493E"/>
    <w:rsid w:val="00B949F1"/>
    <w:rsid w:val="00B976D9"/>
    <w:rsid w:val="00BA2235"/>
    <w:rsid w:val="00BA5251"/>
    <w:rsid w:val="00BA5781"/>
    <w:rsid w:val="00BA624A"/>
    <w:rsid w:val="00BB22CD"/>
    <w:rsid w:val="00BB390D"/>
    <w:rsid w:val="00BB6DA3"/>
    <w:rsid w:val="00BB74A6"/>
    <w:rsid w:val="00BC0D13"/>
    <w:rsid w:val="00BC12D4"/>
    <w:rsid w:val="00BC2A16"/>
    <w:rsid w:val="00BC6E61"/>
    <w:rsid w:val="00BD2ECD"/>
    <w:rsid w:val="00BD41ED"/>
    <w:rsid w:val="00BD59F7"/>
    <w:rsid w:val="00BD5FE2"/>
    <w:rsid w:val="00BD604C"/>
    <w:rsid w:val="00BE0C1B"/>
    <w:rsid w:val="00BE184A"/>
    <w:rsid w:val="00BE5AF6"/>
    <w:rsid w:val="00BE69CF"/>
    <w:rsid w:val="00BE730F"/>
    <w:rsid w:val="00BF234C"/>
    <w:rsid w:val="00BF595A"/>
    <w:rsid w:val="00BF5E10"/>
    <w:rsid w:val="00BF6B49"/>
    <w:rsid w:val="00C05A32"/>
    <w:rsid w:val="00C05A57"/>
    <w:rsid w:val="00C07D45"/>
    <w:rsid w:val="00C108BC"/>
    <w:rsid w:val="00C13611"/>
    <w:rsid w:val="00C2087E"/>
    <w:rsid w:val="00C20ED9"/>
    <w:rsid w:val="00C212C3"/>
    <w:rsid w:val="00C2636A"/>
    <w:rsid w:val="00C26822"/>
    <w:rsid w:val="00C34493"/>
    <w:rsid w:val="00C36159"/>
    <w:rsid w:val="00C37A8D"/>
    <w:rsid w:val="00C37A90"/>
    <w:rsid w:val="00C413B1"/>
    <w:rsid w:val="00C41821"/>
    <w:rsid w:val="00C41B99"/>
    <w:rsid w:val="00C43378"/>
    <w:rsid w:val="00C46A5C"/>
    <w:rsid w:val="00C5057E"/>
    <w:rsid w:val="00C52CB9"/>
    <w:rsid w:val="00C52DE6"/>
    <w:rsid w:val="00C53C9D"/>
    <w:rsid w:val="00C548FE"/>
    <w:rsid w:val="00C61D48"/>
    <w:rsid w:val="00C61D66"/>
    <w:rsid w:val="00C65C6B"/>
    <w:rsid w:val="00C71663"/>
    <w:rsid w:val="00C73BF2"/>
    <w:rsid w:val="00C75A18"/>
    <w:rsid w:val="00C77915"/>
    <w:rsid w:val="00C802C6"/>
    <w:rsid w:val="00C805B3"/>
    <w:rsid w:val="00C83A79"/>
    <w:rsid w:val="00C84712"/>
    <w:rsid w:val="00C849B0"/>
    <w:rsid w:val="00C856E6"/>
    <w:rsid w:val="00C92374"/>
    <w:rsid w:val="00CA040E"/>
    <w:rsid w:val="00CA3FA7"/>
    <w:rsid w:val="00CA3FBF"/>
    <w:rsid w:val="00CB080A"/>
    <w:rsid w:val="00CB2B53"/>
    <w:rsid w:val="00CB2BFB"/>
    <w:rsid w:val="00CC0BB8"/>
    <w:rsid w:val="00CC40B7"/>
    <w:rsid w:val="00CC6162"/>
    <w:rsid w:val="00CC697F"/>
    <w:rsid w:val="00CD17EE"/>
    <w:rsid w:val="00CD703E"/>
    <w:rsid w:val="00CE515D"/>
    <w:rsid w:val="00CE5554"/>
    <w:rsid w:val="00CE7BF4"/>
    <w:rsid w:val="00CF2F25"/>
    <w:rsid w:val="00CF43C0"/>
    <w:rsid w:val="00CF61B2"/>
    <w:rsid w:val="00D00837"/>
    <w:rsid w:val="00D02730"/>
    <w:rsid w:val="00D03466"/>
    <w:rsid w:val="00D0623C"/>
    <w:rsid w:val="00D1069F"/>
    <w:rsid w:val="00D12BFE"/>
    <w:rsid w:val="00D17348"/>
    <w:rsid w:val="00D2507B"/>
    <w:rsid w:val="00D3045C"/>
    <w:rsid w:val="00D306BB"/>
    <w:rsid w:val="00D321F8"/>
    <w:rsid w:val="00D40A92"/>
    <w:rsid w:val="00D41CC8"/>
    <w:rsid w:val="00D425A9"/>
    <w:rsid w:val="00D45B6E"/>
    <w:rsid w:val="00D4614D"/>
    <w:rsid w:val="00D5004B"/>
    <w:rsid w:val="00D50816"/>
    <w:rsid w:val="00D517DF"/>
    <w:rsid w:val="00D539E3"/>
    <w:rsid w:val="00D557D7"/>
    <w:rsid w:val="00D56158"/>
    <w:rsid w:val="00D6476F"/>
    <w:rsid w:val="00D65C26"/>
    <w:rsid w:val="00D704AF"/>
    <w:rsid w:val="00D70EE9"/>
    <w:rsid w:val="00D71E35"/>
    <w:rsid w:val="00D75E7A"/>
    <w:rsid w:val="00D80075"/>
    <w:rsid w:val="00D849C4"/>
    <w:rsid w:val="00D85AFD"/>
    <w:rsid w:val="00D87234"/>
    <w:rsid w:val="00D8785B"/>
    <w:rsid w:val="00D9198E"/>
    <w:rsid w:val="00D9606B"/>
    <w:rsid w:val="00D97410"/>
    <w:rsid w:val="00D978A0"/>
    <w:rsid w:val="00D979D6"/>
    <w:rsid w:val="00DA042E"/>
    <w:rsid w:val="00DA2951"/>
    <w:rsid w:val="00DC562B"/>
    <w:rsid w:val="00DC736E"/>
    <w:rsid w:val="00DC7A14"/>
    <w:rsid w:val="00DD181A"/>
    <w:rsid w:val="00DD3AE4"/>
    <w:rsid w:val="00DD4A0B"/>
    <w:rsid w:val="00DD732B"/>
    <w:rsid w:val="00DE5542"/>
    <w:rsid w:val="00DF0A96"/>
    <w:rsid w:val="00DF594C"/>
    <w:rsid w:val="00DF74D9"/>
    <w:rsid w:val="00E123F7"/>
    <w:rsid w:val="00E20AF4"/>
    <w:rsid w:val="00E2458E"/>
    <w:rsid w:val="00E25CDB"/>
    <w:rsid w:val="00E271B4"/>
    <w:rsid w:val="00E27511"/>
    <w:rsid w:val="00E27D01"/>
    <w:rsid w:val="00E30257"/>
    <w:rsid w:val="00E32973"/>
    <w:rsid w:val="00E34710"/>
    <w:rsid w:val="00E34768"/>
    <w:rsid w:val="00E357A2"/>
    <w:rsid w:val="00E42139"/>
    <w:rsid w:val="00E422E0"/>
    <w:rsid w:val="00E53DF7"/>
    <w:rsid w:val="00E54FCE"/>
    <w:rsid w:val="00E55CB7"/>
    <w:rsid w:val="00E562B2"/>
    <w:rsid w:val="00E6043A"/>
    <w:rsid w:val="00E61A37"/>
    <w:rsid w:val="00E61CBB"/>
    <w:rsid w:val="00E62F62"/>
    <w:rsid w:val="00E630DA"/>
    <w:rsid w:val="00E65203"/>
    <w:rsid w:val="00E653F2"/>
    <w:rsid w:val="00E657F8"/>
    <w:rsid w:val="00E65E9A"/>
    <w:rsid w:val="00E67584"/>
    <w:rsid w:val="00E73808"/>
    <w:rsid w:val="00E73C89"/>
    <w:rsid w:val="00E73D8E"/>
    <w:rsid w:val="00E76010"/>
    <w:rsid w:val="00E77750"/>
    <w:rsid w:val="00E81B39"/>
    <w:rsid w:val="00E82685"/>
    <w:rsid w:val="00E834AD"/>
    <w:rsid w:val="00E835CE"/>
    <w:rsid w:val="00E84DC8"/>
    <w:rsid w:val="00E85A16"/>
    <w:rsid w:val="00E85FC1"/>
    <w:rsid w:val="00E90938"/>
    <w:rsid w:val="00E910AA"/>
    <w:rsid w:val="00E92832"/>
    <w:rsid w:val="00E92BCE"/>
    <w:rsid w:val="00E933DF"/>
    <w:rsid w:val="00E953AE"/>
    <w:rsid w:val="00E96377"/>
    <w:rsid w:val="00EA12EE"/>
    <w:rsid w:val="00EA3067"/>
    <w:rsid w:val="00EA45EB"/>
    <w:rsid w:val="00EA5D39"/>
    <w:rsid w:val="00EB6091"/>
    <w:rsid w:val="00EB6914"/>
    <w:rsid w:val="00EC3AE3"/>
    <w:rsid w:val="00EC62AD"/>
    <w:rsid w:val="00ED2B13"/>
    <w:rsid w:val="00ED32B9"/>
    <w:rsid w:val="00ED4BF7"/>
    <w:rsid w:val="00ED6D37"/>
    <w:rsid w:val="00EE2EEB"/>
    <w:rsid w:val="00EF73D9"/>
    <w:rsid w:val="00F01884"/>
    <w:rsid w:val="00F03E93"/>
    <w:rsid w:val="00F100F9"/>
    <w:rsid w:val="00F123E7"/>
    <w:rsid w:val="00F14261"/>
    <w:rsid w:val="00F21410"/>
    <w:rsid w:val="00F21600"/>
    <w:rsid w:val="00F236D6"/>
    <w:rsid w:val="00F253D2"/>
    <w:rsid w:val="00F30278"/>
    <w:rsid w:val="00F30413"/>
    <w:rsid w:val="00F32559"/>
    <w:rsid w:val="00F32BBD"/>
    <w:rsid w:val="00F32C0E"/>
    <w:rsid w:val="00F36D4E"/>
    <w:rsid w:val="00F37146"/>
    <w:rsid w:val="00F40A5C"/>
    <w:rsid w:val="00F44907"/>
    <w:rsid w:val="00F46091"/>
    <w:rsid w:val="00F46E37"/>
    <w:rsid w:val="00F50E65"/>
    <w:rsid w:val="00F55023"/>
    <w:rsid w:val="00F557E8"/>
    <w:rsid w:val="00F56119"/>
    <w:rsid w:val="00F56A05"/>
    <w:rsid w:val="00F57FE6"/>
    <w:rsid w:val="00F74255"/>
    <w:rsid w:val="00F75106"/>
    <w:rsid w:val="00F75947"/>
    <w:rsid w:val="00F76423"/>
    <w:rsid w:val="00F76934"/>
    <w:rsid w:val="00F774FA"/>
    <w:rsid w:val="00F8143F"/>
    <w:rsid w:val="00F8202F"/>
    <w:rsid w:val="00F86176"/>
    <w:rsid w:val="00F95F90"/>
    <w:rsid w:val="00F974C9"/>
    <w:rsid w:val="00FA36D5"/>
    <w:rsid w:val="00FA5CAB"/>
    <w:rsid w:val="00FA6E3F"/>
    <w:rsid w:val="00FA71E0"/>
    <w:rsid w:val="00FA74E6"/>
    <w:rsid w:val="00FA7FA5"/>
    <w:rsid w:val="00FB19A2"/>
    <w:rsid w:val="00FB3473"/>
    <w:rsid w:val="00FC6D78"/>
    <w:rsid w:val="00FD4DAB"/>
    <w:rsid w:val="00FE2C34"/>
    <w:rsid w:val="00FE2D99"/>
    <w:rsid w:val="00FE75A0"/>
    <w:rsid w:val="00FF37A1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2647"/>
  <w15:chartTrackingRefBased/>
  <w15:docId w15:val="{53005342-C090-469E-B7FE-CCB9DFC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27F"/>
    <w:rPr>
      <w:color w:val="0563C1"/>
      <w:u w:val="single"/>
    </w:rPr>
  </w:style>
  <w:style w:type="character" w:styleId="a5">
    <w:name w:val="Emphasis"/>
    <w:basedOn w:val="a0"/>
    <w:uiPriority w:val="20"/>
    <w:qFormat/>
    <w:rsid w:val="00F74255"/>
    <w:rPr>
      <w:i/>
      <w:iCs/>
    </w:rPr>
  </w:style>
  <w:style w:type="paragraph" w:customStyle="1" w:styleId="a6">
    <w:name w:val="Прижатый влево"/>
    <w:basedOn w:val="a"/>
    <w:uiPriority w:val="99"/>
    <w:rsid w:val="002F586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2E6"/>
  </w:style>
  <w:style w:type="paragraph" w:styleId="a9">
    <w:name w:val="footer"/>
    <w:basedOn w:val="a"/>
    <w:link w:val="aa"/>
    <w:uiPriority w:val="99"/>
    <w:unhideWhenUsed/>
    <w:rsid w:val="0087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2E6"/>
  </w:style>
  <w:style w:type="paragraph" w:customStyle="1" w:styleId="ConsPlusNormal">
    <w:name w:val="ConsPlusNormal"/>
    <w:qFormat/>
    <w:rsid w:val="00E3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56F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6F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56F5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6F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6F5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6F57"/>
    <w:rPr>
      <w:rFonts w:ascii="Segoe UI" w:hAnsi="Segoe UI" w:cs="Segoe UI"/>
      <w:sz w:val="18"/>
      <w:szCs w:val="18"/>
    </w:rPr>
  </w:style>
  <w:style w:type="character" w:customStyle="1" w:styleId="af2">
    <w:name w:val="Гипертекстовая ссылка"/>
    <w:uiPriority w:val="99"/>
    <w:rsid w:val="005B71BF"/>
    <w:rPr>
      <w:rFonts w:cs="Times New Roman"/>
      <w:b w:val="0"/>
      <w:color w:val="106BBE"/>
    </w:rPr>
  </w:style>
  <w:style w:type="paragraph" w:styleId="af3">
    <w:name w:val="No Spacing"/>
    <w:uiPriority w:val="1"/>
    <w:qFormat/>
    <w:rsid w:val="005B71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TextList">
    <w:name w:val="ConsPlusTextList"/>
    <w:uiPriority w:val="99"/>
    <w:rsid w:val="0079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F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rsid w:val="000D791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/>
    </w:rPr>
  </w:style>
  <w:style w:type="paragraph" w:customStyle="1" w:styleId="Textbody">
    <w:name w:val="Text body"/>
    <w:basedOn w:val="a"/>
    <w:rsid w:val="000D791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E95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"/>
    <w:basedOn w:val="a"/>
    <w:link w:val="af7"/>
    <w:unhideWhenUsed/>
    <w:rsid w:val="00806CF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rsid w:val="00806C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B72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27F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EDA0-1D68-479E-BB34-4257C874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24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Шабунина Дарья Владимировна</dc:creator>
  <cp:keywords/>
  <dc:description/>
  <cp:lastModifiedBy>Бакика Оксана Борисовна</cp:lastModifiedBy>
  <cp:revision>36</cp:revision>
  <cp:lastPrinted>2023-04-13T07:18:00Z</cp:lastPrinted>
  <dcterms:created xsi:type="dcterms:W3CDTF">2023-04-13T11:56:00Z</dcterms:created>
  <dcterms:modified xsi:type="dcterms:W3CDTF">2023-07-25T05:13:00Z</dcterms:modified>
</cp:coreProperties>
</file>