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32D7" w14:textId="77777777" w:rsidR="00C671BF" w:rsidRPr="005A00F3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0F3">
        <w:rPr>
          <w:rFonts w:ascii="Times New Roman" w:hAnsi="Times New Roman" w:cs="Times New Roman"/>
          <w:sz w:val="28"/>
          <w:szCs w:val="28"/>
        </w:rPr>
        <w:t>Отчет</w:t>
      </w:r>
    </w:p>
    <w:p w14:paraId="2C1F3175" w14:textId="7D0A86C7" w:rsidR="00C671BF" w:rsidRPr="005A00F3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5A00F3">
        <w:rPr>
          <w:rFonts w:ascii="Times New Roman" w:hAnsi="Times New Roman" w:cs="Times New Roman"/>
          <w:sz w:val="28"/>
          <w:szCs w:val="28"/>
        </w:rPr>
        <w:t xml:space="preserve">» направления «Социальная среда» Стратегии социально-экономического развития муниципального образования городской округ Сургут </w:t>
      </w:r>
      <w:r w:rsidR="00697C72" w:rsidRPr="00492D0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697C72" w:rsidRPr="004D7DC0">
        <w:rPr>
          <w:rFonts w:ascii="Times New Roman" w:hAnsi="Times New Roman" w:cs="Times New Roman"/>
          <w:sz w:val="28"/>
          <w:szCs w:val="28"/>
        </w:rPr>
        <w:t xml:space="preserve"> </w:t>
      </w:r>
      <w:r w:rsidR="00F86146" w:rsidRPr="00EF5179"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  <w:r w:rsidRPr="005A00F3">
        <w:rPr>
          <w:rFonts w:ascii="Times New Roman" w:hAnsi="Times New Roman" w:cs="Times New Roman"/>
          <w:sz w:val="28"/>
          <w:szCs w:val="28"/>
        </w:rPr>
        <w:t>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0274A1">
        <w:rPr>
          <w:rFonts w:ascii="Times New Roman" w:hAnsi="Times New Roman" w:cs="Times New Roman"/>
          <w:sz w:val="28"/>
          <w:szCs w:val="28"/>
        </w:rPr>
        <w:t>3</w:t>
      </w:r>
      <w:r w:rsidRPr="005A00F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3B916B1" w14:textId="77777777" w:rsidR="00C671BF" w:rsidRPr="005A00F3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EA85F31" w14:textId="77777777"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06F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E7406F">
        <w:rPr>
          <w:rFonts w:ascii="Times New Roman" w:hAnsi="Times New Roman" w:cs="Times New Roman"/>
          <w:sz w:val="28"/>
          <w:szCs w:val="28"/>
        </w:rPr>
        <w:t>а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14:paraId="0C589AF1" w14:textId="3F57DF3E" w:rsidR="005A00F3" w:rsidRPr="00E7406F" w:rsidRDefault="00F05CAE" w:rsidP="005A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цель вектора – с</w:t>
      </w:r>
      <w:r w:rsidR="001A5F8D" w:rsidRPr="00E7406F">
        <w:rPr>
          <w:rFonts w:ascii="Times New Roman" w:hAnsi="Times New Roman" w:cs="Times New Roman"/>
          <w:sz w:val="28"/>
          <w:szCs w:val="28"/>
        </w:rPr>
        <w:t>оздание условий для осуществления жизнедеятельности и труда жителей города Сургута в соответствии с нормами и нормативами, установленным</w:t>
      </w:r>
      <w:r w:rsidR="00D24835">
        <w:rPr>
          <w:rFonts w:ascii="Times New Roman" w:hAnsi="Times New Roman" w:cs="Times New Roman"/>
          <w:sz w:val="28"/>
          <w:szCs w:val="28"/>
        </w:rPr>
        <w:t>и действующим законодательством</w:t>
      </w:r>
      <w:r w:rsidR="005A00F3" w:rsidRPr="00E7406F">
        <w:rPr>
          <w:rFonts w:ascii="Times New Roman" w:hAnsi="Times New Roman" w:cs="Times New Roman"/>
          <w:sz w:val="28"/>
          <w:szCs w:val="28"/>
        </w:rPr>
        <w:t>.</w:t>
      </w:r>
    </w:p>
    <w:p w14:paraId="3E3CD59C" w14:textId="55613864" w:rsidR="005A00F3" w:rsidRPr="00E7406F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hAnsi="Times New Roman" w:cs="Times New Roman"/>
          <w:sz w:val="28"/>
          <w:szCs w:val="28"/>
          <w:lang w:eastAsia="en-US"/>
        </w:rPr>
        <w:t xml:space="preserve">Задачами, направленными на </w:t>
      </w:r>
      <w:r w:rsidR="00E75A8F">
        <w:rPr>
          <w:rFonts w:ascii="Times New Roman" w:hAnsi="Times New Roman" w:cs="Times New Roman"/>
          <w:sz w:val="28"/>
          <w:szCs w:val="28"/>
          <w:lang w:eastAsia="en-US"/>
        </w:rPr>
        <w:t>достижение стратегической цели,</w:t>
      </w:r>
      <w:r w:rsidR="00626A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7406F">
        <w:rPr>
          <w:rFonts w:ascii="Times New Roman" w:hAnsi="Times New Roman" w:cs="Times New Roman"/>
          <w:sz w:val="28"/>
          <w:szCs w:val="28"/>
          <w:lang w:eastAsia="en-US"/>
        </w:rPr>
        <w:t>являются:</w:t>
      </w:r>
    </w:p>
    <w:p w14:paraId="3EDB9524" w14:textId="2D6BF1BB"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социальная поддер</w:t>
      </w:r>
      <w:r w:rsidR="00D24835">
        <w:rPr>
          <w:rFonts w:ascii="Times New Roman" w:eastAsiaTheme="minorHAnsi" w:hAnsi="Times New Roman" w:cs="Times New Roman"/>
          <w:sz w:val="28"/>
          <w:szCs w:val="28"/>
          <w:lang w:eastAsia="en-US"/>
        </w:rPr>
        <w:t>жка отдельных категорий граждан</w:t>
      </w: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8F56D42" w14:textId="77777777"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гарантий погребения;</w:t>
      </w:r>
    </w:p>
    <w:p w14:paraId="4A6D3506" w14:textId="77777777"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содействие улучшению условий и охраны труда, обеспечивающих сохранение жизни и здоровья работников организаций города</w:t>
      </w:r>
      <w:r w:rsidR="00C457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97FBEC" w14:textId="77777777" w:rsidR="00C03614" w:rsidRPr="00E7406F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A87749" w14:textId="3911DA2D"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06F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697C72">
        <w:rPr>
          <w:rFonts w:ascii="Times New Roman" w:hAnsi="Times New Roman" w:cs="Times New Roman"/>
          <w:sz w:val="28"/>
          <w:szCs w:val="28"/>
        </w:rPr>
        <w:t xml:space="preserve"> </w:t>
      </w:r>
      <w:r w:rsidR="00697C72" w:rsidRPr="00492D0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14:paraId="40F4EA3C" w14:textId="621F60C9"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492D09" w:rsidRPr="00492D09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E7406F">
        <w:rPr>
          <w:rFonts w:ascii="Times New Roman" w:hAnsi="Times New Roman" w:cs="Times New Roman"/>
          <w:sz w:val="28"/>
          <w:szCs w:val="28"/>
        </w:rPr>
        <w:t>за</w:t>
      </w:r>
      <w:r w:rsidR="000274A1" w:rsidRPr="000274A1">
        <w:rPr>
          <w:rFonts w:ascii="Times New Roman" w:hAnsi="Times New Roman" w:cs="Times New Roman"/>
          <w:sz w:val="28"/>
          <w:szCs w:val="28"/>
        </w:rPr>
        <w:t xml:space="preserve"> </w:t>
      </w:r>
      <w:r w:rsidR="000274A1" w:rsidRPr="005A00F3">
        <w:rPr>
          <w:rFonts w:ascii="Times New Roman" w:hAnsi="Times New Roman" w:cs="Times New Roman"/>
          <w:sz w:val="28"/>
          <w:szCs w:val="28"/>
        </w:rPr>
        <w:t>20</w:t>
      </w:r>
      <w:r w:rsidR="000274A1">
        <w:rPr>
          <w:rFonts w:ascii="Times New Roman" w:hAnsi="Times New Roman" w:cs="Times New Roman"/>
          <w:sz w:val="28"/>
          <w:szCs w:val="28"/>
        </w:rPr>
        <w:t>23</w:t>
      </w:r>
      <w:r w:rsidR="000274A1" w:rsidRPr="005A00F3">
        <w:rPr>
          <w:rFonts w:ascii="Times New Roman" w:hAnsi="Times New Roman" w:cs="Times New Roman"/>
          <w:sz w:val="28"/>
          <w:szCs w:val="28"/>
        </w:rPr>
        <w:t xml:space="preserve"> </w:t>
      </w:r>
      <w:r w:rsidR="002B2063">
        <w:rPr>
          <w:rFonts w:ascii="Times New Roman" w:hAnsi="Times New Roman" w:cs="Times New Roman"/>
          <w:sz w:val="28"/>
          <w:szCs w:val="28"/>
        </w:rPr>
        <w:t>год</w:t>
      </w:r>
      <w:r w:rsidRPr="00E7406F">
        <w:rPr>
          <w:rFonts w:ascii="Times New Roman" w:hAnsi="Times New Roman" w:cs="Times New Roman"/>
          <w:sz w:val="28"/>
          <w:szCs w:val="28"/>
        </w:rPr>
        <w:t xml:space="preserve"> представлен в приложении 1 к отчету.</w:t>
      </w:r>
    </w:p>
    <w:p w14:paraId="0ECADAEA" w14:textId="77777777" w:rsidR="00C671BF" w:rsidRPr="00E7406F" w:rsidRDefault="00C671BF" w:rsidP="00C671B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173CF1B1" w14:textId="77777777" w:rsidR="00C671BF" w:rsidRPr="00492D09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406F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</w:t>
      </w:r>
      <w:r w:rsidR="00785EEF">
        <w:rPr>
          <w:rFonts w:ascii="Times New Roman" w:hAnsi="Times New Roman" w:cs="Times New Roman"/>
          <w:sz w:val="28"/>
          <w:szCs w:val="28"/>
        </w:rPr>
        <w:t> </w:t>
      </w:r>
      <w:r w:rsidRPr="00E7406F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</w:t>
      </w:r>
      <w:r w:rsidR="00697C72">
        <w:rPr>
          <w:rFonts w:ascii="Times New Roman" w:hAnsi="Times New Roman" w:cs="Times New Roman"/>
          <w:sz w:val="28"/>
          <w:szCs w:val="28"/>
        </w:rPr>
        <w:t xml:space="preserve"> </w:t>
      </w:r>
      <w:r w:rsidR="00697C72" w:rsidRPr="00492D09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="00A517EF" w:rsidRPr="00492D09">
        <w:rPr>
          <w:rFonts w:ascii="Times New Roman" w:hAnsi="Times New Roman" w:cs="Times New Roman"/>
          <w:sz w:val="28"/>
          <w:szCs w:val="28"/>
        </w:rPr>
        <w:t>.</w:t>
      </w:r>
    </w:p>
    <w:p w14:paraId="1810CD00" w14:textId="1B0EE07E" w:rsidR="00C671BF" w:rsidRPr="00492D09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7D4EF5" w:rsidRPr="00492D0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городской округ Сургут за </w:t>
      </w:r>
      <w:r w:rsidR="000274A1" w:rsidRPr="005A00F3">
        <w:rPr>
          <w:rFonts w:ascii="Times New Roman" w:hAnsi="Times New Roman" w:cs="Times New Roman"/>
          <w:sz w:val="28"/>
          <w:szCs w:val="28"/>
        </w:rPr>
        <w:t>20</w:t>
      </w:r>
      <w:r w:rsidR="000274A1">
        <w:rPr>
          <w:rFonts w:ascii="Times New Roman" w:hAnsi="Times New Roman" w:cs="Times New Roman"/>
          <w:sz w:val="28"/>
          <w:szCs w:val="28"/>
        </w:rPr>
        <w:t>23</w:t>
      </w:r>
      <w:r w:rsidR="000274A1" w:rsidRPr="005A00F3">
        <w:rPr>
          <w:rFonts w:ascii="Times New Roman" w:hAnsi="Times New Roman" w:cs="Times New Roman"/>
          <w:sz w:val="28"/>
          <w:szCs w:val="28"/>
        </w:rPr>
        <w:t xml:space="preserve"> </w:t>
      </w:r>
      <w:r w:rsidR="002B2063">
        <w:rPr>
          <w:rFonts w:ascii="Times New Roman" w:hAnsi="Times New Roman" w:cs="Times New Roman"/>
          <w:sz w:val="28"/>
          <w:szCs w:val="28"/>
        </w:rPr>
        <w:t>год</w:t>
      </w:r>
      <w:r w:rsidR="000274A1">
        <w:rPr>
          <w:rFonts w:ascii="Times New Roman" w:hAnsi="Times New Roman" w:cs="Times New Roman"/>
          <w:sz w:val="28"/>
          <w:szCs w:val="28"/>
        </w:rPr>
        <w:t xml:space="preserve"> </w:t>
      </w:r>
      <w:r w:rsidRPr="00492D09">
        <w:rPr>
          <w:rFonts w:ascii="Times New Roman" w:hAnsi="Times New Roman" w:cs="Times New Roman"/>
          <w:sz w:val="28"/>
          <w:szCs w:val="28"/>
        </w:rPr>
        <w:t>представлен в приложении 2 к отчету.</w:t>
      </w:r>
    </w:p>
    <w:p w14:paraId="5795273B" w14:textId="77777777"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14:paraId="317A110B" w14:textId="2C2E3422" w:rsidR="00CA00A6" w:rsidRDefault="00C671BF" w:rsidP="002B2063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406F">
        <w:rPr>
          <w:rFonts w:ascii="Times New Roman" w:hAnsi="Times New Roman" w:cs="Times New Roman"/>
          <w:sz w:val="28"/>
          <w:szCs w:val="28"/>
        </w:rPr>
        <w:t>. По результатам проведенного анализа</w:t>
      </w:r>
      <w:r w:rsidR="00E2585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</w:t>
      </w:r>
      <w:r w:rsidR="00CA00A6">
        <w:rPr>
          <w:rFonts w:ascii="Times New Roman" w:hAnsi="Times New Roman" w:cs="Times New Roman"/>
          <w:sz w:val="28"/>
          <w:szCs w:val="28"/>
        </w:rPr>
        <w:t>.</w:t>
      </w:r>
    </w:p>
    <w:p w14:paraId="0392BF1E" w14:textId="4315A826" w:rsidR="004844DD" w:rsidRDefault="004844DD" w:rsidP="002B2063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достижения плановых значений позволяет сделать вывод о промежуточном достижении цели вектора «Социальная поддержка». Достигнуты два из трех плановых целевых показателей.</w:t>
      </w:r>
    </w:p>
    <w:p w14:paraId="6CF7117E" w14:textId="5D66FA4B" w:rsidR="00B71B5D" w:rsidRDefault="00B71B5D" w:rsidP="002B2063">
      <w:pPr>
        <w:rPr>
          <w:rFonts w:ascii="Times New Roman" w:hAnsi="Times New Roman" w:cs="Times New Roman"/>
          <w:sz w:val="28"/>
          <w:szCs w:val="28"/>
        </w:rPr>
      </w:pPr>
    </w:p>
    <w:p w14:paraId="3C34810D" w14:textId="038C47AE" w:rsidR="00B71B5D" w:rsidRDefault="00B71B5D" w:rsidP="002B2063">
      <w:pPr>
        <w:rPr>
          <w:rFonts w:ascii="Times New Roman" w:hAnsi="Times New Roman" w:cs="Times New Roman"/>
          <w:sz w:val="28"/>
          <w:szCs w:val="28"/>
        </w:rPr>
      </w:pPr>
      <w:r w:rsidRPr="00B71B5D">
        <w:rPr>
          <w:rFonts w:ascii="Times New Roman" w:hAnsi="Times New Roman" w:cs="Times New Roman"/>
          <w:sz w:val="28"/>
          <w:szCs w:val="28"/>
        </w:rPr>
        <w:t xml:space="preserve">Показатель 25. «Доля граждан, получивших социальную поддержку </w:t>
      </w:r>
      <w:r w:rsidR="00F92823">
        <w:rPr>
          <w:rFonts w:ascii="Times New Roman" w:hAnsi="Times New Roman" w:cs="Times New Roman"/>
          <w:sz w:val="28"/>
          <w:szCs w:val="28"/>
        </w:rPr>
        <w:br/>
      </w:r>
      <w:r w:rsidRPr="00B71B5D">
        <w:rPr>
          <w:rFonts w:ascii="Times New Roman" w:hAnsi="Times New Roman" w:cs="Times New Roman"/>
          <w:sz w:val="28"/>
          <w:szCs w:val="28"/>
        </w:rPr>
        <w:t xml:space="preserve">в общей численности граждан, имеющих право на ее получение и обратившихся за ее получением» исполнен на 100 % и составил 100 %. </w:t>
      </w:r>
    </w:p>
    <w:p w14:paraId="4D30F137" w14:textId="77777777" w:rsidR="000308BF" w:rsidRDefault="000308BF" w:rsidP="002B2063">
      <w:pPr>
        <w:rPr>
          <w:rFonts w:ascii="Times New Roman" w:hAnsi="Times New Roman" w:cs="Times New Roman"/>
          <w:sz w:val="28"/>
          <w:szCs w:val="28"/>
        </w:rPr>
      </w:pPr>
    </w:p>
    <w:p w14:paraId="672FE2C7" w14:textId="504708CA" w:rsidR="00B71B5D" w:rsidRDefault="00B71B5D" w:rsidP="002B2063">
      <w:pPr>
        <w:rPr>
          <w:rFonts w:ascii="Times New Roman" w:hAnsi="Times New Roman" w:cs="Times New Roman"/>
          <w:sz w:val="28"/>
          <w:szCs w:val="28"/>
        </w:rPr>
      </w:pPr>
      <w:r w:rsidRPr="00B71B5D">
        <w:rPr>
          <w:rFonts w:ascii="Times New Roman" w:hAnsi="Times New Roman" w:cs="Times New Roman"/>
          <w:sz w:val="28"/>
          <w:szCs w:val="28"/>
        </w:rPr>
        <w:t xml:space="preserve">Показатель 26. «Доля работников организаций муниципального сектора, охваченных мероприятиями по улучшению условий и охраны труда в общей </w:t>
      </w:r>
      <w:r w:rsidRPr="00B71B5D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численности работников муниципальных организаций» исполнен на 100 % </w:t>
      </w:r>
      <w:r w:rsidR="00F92823">
        <w:rPr>
          <w:rFonts w:ascii="Times New Roman" w:hAnsi="Times New Roman" w:cs="Times New Roman"/>
          <w:sz w:val="28"/>
          <w:szCs w:val="28"/>
        </w:rPr>
        <w:br/>
      </w:r>
      <w:r w:rsidRPr="00B71B5D">
        <w:rPr>
          <w:rFonts w:ascii="Times New Roman" w:hAnsi="Times New Roman" w:cs="Times New Roman"/>
          <w:sz w:val="28"/>
          <w:szCs w:val="28"/>
        </w:rPr>
        <w:t xml:space="preserve">и составил 100 %. </w:t>
      </w:r>
    </w:p>
    <w:p w14:paraId="50291083" w14:textId="77777777" w:rsidR="00E2585B" w:rsidRDefault="00E2585B" w:rsidP="002B2063">
      <w:pPr>
        <w:rPr>
          <w:rFonts w:ascii="Times New Roman" w:hAnsi="Times New Roman" w:cs="Times New Roman"/>
          <w:sz w:val="28"/>
          <w:szCs w:val="28"/>
        </w:rPr>
      </w:pPr>
    </w:p>
    <w:p w14:paraId="4DFCDA34" w14:textId="77777777" w:rsidR="00FD44EA" w:rsidRPr="00066020" w:rsidRDefault="00FD44EA" w:rsidP="00FD44EA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27. </w:t>
      </w:r>
      <w:r w:rsidRPr="009065BD">
        <w:rPr>
          <w:rFonts w:ascii="Times New Roman" w:hAnsi="Times New Roman" w:cs="Times New Roman"/>
          <w:sz w:val="28"/>
          <w:szCs w:val="28"/>
        </w:rPr>
        <w:t xml:space="preserve">«Соотношение прожиточного минимума и пенсии по старости» исполнен на </w:t>
      </w:r>
      <w:r>
        <w:rPr>
          <w:rFonts w:ascii="Times New Roman" w:hAnsi="Times New Roman" w:cs="Times New Roman"/>
          <w:sz w:val="28"/>
          <w:szCs w:val="28"/>
        </w:rPr>
        <w:t xml:space="preserve">94,7 </w:t>
      </w:r>
      <w:r w:rsidRPr="009065B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и составил 1,8 (-0,1) при плановом </w:t>
      </w:r>
      <w:r>
        <w:rPr>
          <w:rFonts w:ascii="Times New Roman" w:hAnsi="Times New Roman" w:cs="Times New Roman"/>
          <w:sz w:val="28"/>
          <w:szCs w:val="28"/>
        </w:rPr>
        <w:br/>
        <w:t>значении 1,9</w:t>
      </w:r>
      <w:r w:rsidRPr="009065BD">
        <w:rPr>
          <w:rFonts w:ascii="Times New Roman" w:hAnsi="Times New Roman" w:cs="Times New Roman"/>
          <w:sz w:val="28"/>
          <w:szCs w:val="28"/>
        </w:rPr>
        <w:t>.</w:t>
      </w:r>
    </w:p>
    <w:p w14:paraId="3B322C38" w14:textId="58493FE2" w:rsidR="00B71B5D" w:rsidRPr="00CA00A6" w:rsidRDefault="00FD44EA" w:rsidP="00FD44EA">
      <w:pPr>
        <w:ind w:firstLine="709"/>
        <w:rPr>
          <w:rFonts w:ascii="Times New Roman" w:hAnsi="Times New Roman" w:cs="Times New Roman"/>
          <w:sz w:val="28"/>
          <w:szCs w:val="28"/>
        </w:rPr>
        <w:sectPr w:rsidR="00B71B5D" w:rsidRPr="00CA00A6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E3467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обусловлено, в основном, более высокими по сравнению с прогнозируемыми темпами роста прожиточного минимума пенсионера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5D74D" w14:textId="77777777"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</w:t>
      </w:r>
    </w:p>
    <w:p w14:paraId="250192F8" w14:textId="77777777" w:rsidR="00256F08" w:rsidRDefault="00256F08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00072" w14:textId="77777777" w:rsidR="00256F08" w:rsidRDefault="00256F08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D586A" w14:textId="77777777" w:rsidR="00FD44EA" w:rsidRPr="00FD44EA" w:rsidRDefault="00FD44EA" w:rsidP="00FD44EA">
      <w:pPr>
        <w:ind w:firstLine="10773"/>
        <w:rPr>
          <w:rFonts w:ascii="Times New Roman" w:eastAsiaTheme="minorHAnsi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Приложение 1 к отчету                                                                                                                               </w:t>
      </w:r>
    </w:p>
    <w:p w14:paraId="7F8E5126" w14:textId="77777777" w:rsidR="00E2585B" w:rsidRDefault="00FD44EA" w:rsidP="00E2585B">
      <w:pPr>
        <w:ind w:left="10773" w:firstLine="0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о реализации </w:t>
      </w:r>
      <w:r w:rsidR="00E2585B">
        <w:rPr>
          <w:rFonts w:ascii="Times New Roman" w:hAnsi="Times New Roman" w:cs="Times New Roman"/>
        </w:rPr>
        <w:t xml:space="preserve">вектора </w:t>
      </w:r>
    </w:p>
    <w:p w14:paraId="6ADA6361" w14:textId="77777777" w:rsidR="00E2585B" w:rsidRDefault="00E2585B" w:rsidP="00E2585B">
      <w:pPr>
        <w:ind w:left="1077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поддержка» </w:t>
      </w:r>
      <w:r w:rsidR="00FD44EA" w:rsidRPr="00FD44EA">
        <w:rPr>
          <w:rFonts w:ascii="Times New Roman" w:hAnsi="Times New Roman" w:cs="Times New Roman"/>
        </w:rPr>
        <w:t xml:space="preserve">направления «Социальная среда» </w:t>
      </w:r>
    </w:p>
    <w:p w14:paraId="68DFC505" w14:textId="049BDF83" w:rsidR="00FD44EA" w:rsidRPr="00FD44EA" w:rsidRDefault="00FD44EA" w:rsidP="00E2585B">
      <w:pPr>
        <w:ind w:left="10773" w:firstLine="0"/>
        <w:jc w:val="left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за 2023 год </w:t>
      </w:r>
    </w:p>
    <w:p w14:paraId="6B9631D9" w14:textId="77777777" w:rsidR="00FD44EA" w:rsidRPr="00FD44EA" w:rsidRDefault="00FD44EA" w:rsidP="00FD44EA">
      <w:pPr>
        <w:ind w:firstLine="10773"/>
        <w:rPr>
          <w:rFonts w:ascii="Times New Roman" w:hAnsi="Times New Roman" w:cs="Times New Roman"/>
        </w:rPr>
      </w:pPr>
    </w:p>
    <w:p w14:paraId="7C033449" w14:textId="77777777" w:rsidR="00FD44EA" w:rsidRPr="00FD44EA" w:rsidRDefault="00FD44EA" w:rsidP="00FD44EA">
      <w:pPr>
        <w:jc w:val="center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Ханты-Мансийского автономного округа – Югры </w:t>
      </w:r>
      <w:r w:rsidRPr="00FD44EA">
        <w:rPr>
          <w:rFonts w:ascii="Times New Roman" w:hAnsi="Times New Roman" w:cs="Times New Roman"/>
          <w:sz w:val="28"/>
          <w:szCs w:val="28"/>
        </w:rPr>
        <w:br/>
        <w:t>на период до 2030 года за 2023 год</w:t>
      </w:r>
    </w:p>
    <w:p w14:paraId="21F9C870" w14:textId="77777777" w:rsidR="00FD44EA" w:rsidRPr="00FD44EA" w:rsidRDefault="00FD44EA" w:rsidP="00FD44EA">
      <w:pPr>
        <w:ind w:firstLine="10773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FD44EA" w:rsidRPr="00FD44EA" w14:paraId="07649B9B" w14:textId="77777777" w:rsidTr="00593C57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42B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30EF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План</w:t>
            </w:r>
          </w:p>
          <w:p w14:paraId="001CF3DB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2023 год</w:t>
            </w:r>
          </w:p>
          <w:p w14:paraId="71C3C06B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1871" w14:textId="489D40AA" w:rsidR="00947155" w:rsidRDefault="00947155" w:rsidP="009471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Факт</w:t>
            </w:r>
            <w:r>
              <w:rPr>
                <w:rFonts w:ascii="Times New Roman" w:hAnsi="Times New Roman" w:cs="Times New Roman"/>
              </w:rPr>
              <w:t xml:space="preserve"> 2023</w:t>
            </w:r>
          </w:p>
          <w:p w14:paraId="16BF80E5" w14:textId="7F83D9CE" w:rsidR="00947155" w:rsidRPr="00E7406F" w:rsidRDefault="00823260" w:rsidP="009471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  <w:p w14:paraId="20C87777" w14:textId="1531798C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BCF9F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Исполнение</w:t>
            </w:r>
          </w:p>
          <w:p w14:paraId="0578D3DE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(%)</w:t>
            </w:r>
          </w:p>
        </w:tc>
      </w:tr>
      <w:tr w:rsidR="00FD44EA" w:rsidRPr="00FD44EA" w14:paraId="0742AC24" w14:textId="77777777" w:rsidTr="00593C57">
        <w:trPr>
          <w:trHeight w:val="319"/>
        </w:trPr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B24660" w14:textId="77777777" w:rsidR="00FD44EA" w:rsidRPr="00FD44EA" w:rsidRDefault="00FD44EA" w:rsidP="00FD44EA">
            <w:pPr>
              <w:ind w:firstLine="0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1.2. Направление «Социальная среда»</w:t>
            </w:r>
          </w:p>
        </w:tc>
      </w:tr>
      <w:tr w:rsidR="00FD44EA" w:rsidRPr="00FD44EA" w14:paraId="61F88D7A" w14:textId="77777777" w:rsidTr="00593C57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23D29DB2" w14:textId="77777777" w:rsidR="00FD44EA" w:rsidRPr="00FD44EA" w:rsidRDefault="00FD44EA" w:rsidP="00FD44EA">
            <w:pPr>
              <w:ind w:firstLine="0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1.2.3. Вектор «Социальная поддержка»</w:t>
            </w:r>
          </w:p>
        </w:tc>
      </w:tr>
      <w:tr w:rsidR="00FD44EA" w:rsidRPr="00FD44EA" w14:paraId="41C07CF5" w14:textId="77777777" w:rsidTr="00593C57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D08" w14:textId="77777777" w:rsidR="00FD44EA" w:rsidRPr="00FD44EA" w:rsidRDefault="00FD44EA" w:rsidP="00FD44E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B1D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BA5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7A70D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100</w:t>
            </w:r>
          </w:p>
        </w:tc>
      </w:tr>
      <w:tr w:rsidR="00FD44EA" w:rsidRPr="00FD44EA" w14:paraId="44FB3695" w14:textId="77777777" w:rsidTr="00593C57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97AD" w14:textId="4E55FFDD" w:rsidR="00FD44EA" w:rsidRPr="00FD44EA" w:rsidRDefault="00FD44EA" w:rsidP="00FD44E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26. Доля работников организаций муниципального сектора, охваченных мероприятиями по улучшению условий и охраны труда</w:t>
            </w:r>
            <w:r w:rsidR="002604EC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 в общей численности работник</w:t>
            </w:r>
            <w:r w:rsidR="00823260">
              <w:rPr>
                <w:rFonts w:ascii="Times New Roman" w:eastAsiaTheme="minorHAnsi" w:hAnsi="Times New Roman" w:cs="Times New Roman"/>
                <w:lang w:eastAsia="en-US"/>
              </w:rPr>
              <w:t>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511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003" w14:textId="5A6C7E7F" w:rsidR="00FD44EA" w:rsidRPr="00FD44EA" w:rsidRDefault="00823260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D6DD4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100</w:t>
            </w:r>
          </w:p>
        </w:tc>
      </w:tr>
      <w:tr w:rsidR="00FD44EA" w:rsidRPr="00FD44EA" w14:paraId="7A030D57" w14:textId="77777777" w:rsidTr="00593C57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06D" w14:textId="77777777" w:rsidR="00FD44EA" w:rsidRPr="00FD44EA" w:rsidRDefault="00FD44EA" w:rsidP="00FD44E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EAF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76F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7B839" w14:textId="77777777" w:rsidR="00FD44EA" w:rsidRPr="00FD44EA" w:rsidRDefault="00FD44EA" w:rsidP="00FD44E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94,7</w:t>
            </w:r>
          </w:p>
        </w:tc>
      </w:tr>
      <w:tr w:rsidR="00FD44EA" w:rsidRPr="00FD44EA" w14:paraId="0D3DDBAE" w14:textId="77777777" w:rsidTr="00593C57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223AA01" w14:textId="77777777" w:rsidR="00FD44EA" w:rsidRPr="00FD44EA" w:rsidRDefault="00FD44EA" w:rsidP="00FD44E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14:paraId="19216A98" w14:textId="77777777" w:rsidR="00FD44EA" w:rsidRPr="00FD44EA" w:rsidRDefault="00FD44EA" w:rsidP="00FD44EA">
      <w:pPr>
        <w:rPr>
          <w:rFonts w:ascii="Times New Roman" w:hAnsi="Times New Roman" w:cs="Times New Roman"/>
        </w:rPr>
      </w:pPr>
    </w:p>
    <w:p w14:paraId="746CA9F1" w14:textId="77777777" w:rsidR="00FD44EA" w:rsidRPr="00FD44EA" w:rsidRDefault="00FD44EA" w:rsidP="00E2585B">
      <w:pPr>
        <w:pageBreakBefore/>
        <w:ind w:left="100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</w:t>
      </w:r>
      <w:r w:rsidRPr="00FD44EA">
        <w:rPr>
          <w:rFonts w:ascii="Times New Roman" w:hAnsi="Times New Roman" w:cs="Times New Roman"/>
        </w:rPr>
        <w:t xml:space="preserve">ожение 2 к отчету                                                                                                                               </w:t>
      </w:r>
    </w:p>
    <w:p w14:paraId="6C7A837F" w14:textId="1C38EF62" w:rsidR="00E2585B" w:rsidRDefault="00FD44EA" w:rsidP="00E2585B">
      <w:pPr>
        <w:ind w:left="10773" w:firstLine="0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>о реализации</w:t>
      </w:r>
      <w:r w:rsidR="00E2585B" w:rsidRPr="00E2585B">
        <w:rPr>
          <w:rFonts w:ascii="Times New Roman" w:hAnsi="Times New Roman" w:cs="Times New Roman"/>
        </w:rPr>
        <w:t xml:space="preserve"> </w:t>
      </w:r>
      <w:r w:rsidR="00E2585B">
        <w:rPr>
          <w:rFonts w:ascii="Times New Roman" w:hAnsi="Times New Roman" w:cs="Times New Roman"/>
        </w:rPr>
        <w:t xml:space="preserve">вектора </w:t>
      </w:r>
    </w:p>
    <w:p w14:paraId="6C704430" w14:textId="31FB2342" w:rsidR="00E2585B" w:rsidRDefault="00E2585B" w:rsidP="00E2585B">
      <w:pPr>
        <w:ind w:left="1077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поддержка» </w:t>
      </w:r>
      <w:r w:rsidRPr="00FD44EA">
        <w:rPr>
          <w:rFonts w:ascii="Times New Roman" w:hAnsi="Times New Roman" w:cs="Times New Roman"/>
        </w:rPr>
        <w:t xml:space="preserve">направления «Социальная среда» </w:t>
      </w:r>
    </w:p>
    <w:p w14:paraId="0DDE1785" w14:textId="1A87F289" w:rsidR="00E2585B" w:rsidRPr="00FD44EA" w:rsidRDefault="00E2585B" w:rsidP="00E2585B">
      <w:pPr>
        <w:ind w:left="10620" w:firstLine="153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за 2023 год </w:t>
      </w:r>
    </w:p>
    <w:p w14:paraId="07C083BB" w14:textId="7E100A8B" w:rsidR="00E2585B" w:rsidRPr="00FD44EA" w:rsidRDefault="00E2585B" w:rsidP="00E2585B">
      <w:pPr>
        <w:ind w:firstLine="11199"/>
        <w:rPr>
          <w:rFonts w:ascii="Times New Roman" w:hAnsi="Times New Roman" w:cs="Times New Roman"/>
        </w:rPr>
      </w:pPr>
    </w:p>
    <w:p w14:paraId="791613FC" w14:textId="61377AAB" w:rsidR="00FD44EA" w:rsidRPr="00FD44EA" w:rsidRDefault="00FD44EA" w:rsidP="00FD44EA">
      <w:pPr>
        <w:ind w:firstLine="11199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</w:p>
    <w:p w14:paraId="5F09A427" w14:textId="77777777" w:rsidR="00FD44EA" w:rsidRPr="00FD44EA" w:rsidRDefault="00FD44EA" w:rsidP="00FD44EA">
      <w:pPr>
        <w:ind w:left="10206"/>
        <w:rPr>
          <w:rFonts w:ascii="Times New Roman" w:hAnsi="Times New Roman" w:cs="Times New Roman"/>
        </w:rPr>
      </w:pPr>
      <w:r w:rsidRPr="00FD44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14:paraId="0FEB64E1" w14:textId="77777777" w:rsidR="00FD44EA" w:rsidRPr="00FD44EA" w:rsidRDefault="00FD44EA" w:rsidP="00FD4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4EA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за 2023 год</w:t>
      </w:r>
    </w:p>
    <w:p w14:paraId="5489D71D" w14:textId="77777777" w:rsidR="00FD44EA" w:rsidRPr="00FD44EA" w:rsidRDefault="00FD44EA" w:rsidP="00FD44EA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4253"/>
        <w:gridCol w:w="3260"/>
        <w:gridCol w:w="3969"/>
      </w:tblGrid>
      <w:tr w:rsidR="00FD44EA" w:rsidRPr="00FD44EA" w14:paraId="3F2D1148" w14:textId="77777777" w:rsidTr="00593C57">
        <w:tc>
          <w:tcPr>
            <w:tcW w:w="4111" w:type="dxa"/>
            <w:shd w:val="clear" w:color="auto" w:fill="auto"/>
          </w:tcPr>
          <w:p w14:paraId="470E6966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Наименование мероприятия/подмероприятия/</w:t>
            </w:r>
          </w:p>
          <w:p w14:paraId="0EEE3D2F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4253" w:type="dxa"/>
            <w:shd w:val="clear" w:color="auto" w:fill="auto"/>
          </w:tcPr>
          <w:p w14:paraId="64ADE05B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14:paraId="7D84EA4E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подмероприятия</w:t>
            </w:r>
          </w:p>
          <w:p w14:paraId="6F1DBE13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FD44EA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FD44EA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3260" w:type="dxa"/>
            <w:shd w:val="clear" w:color="auto" w:fill="auto"/>
          </w:tcPr>
          <w:p w14:paraId="6311D5F6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 xml:space="preserve">Срок реализации мероприятия/ подмероприятия/ключевого события/события </w:t>
            </w:r>
            <w:r w:rsidRPr="00FD44EA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FD44EA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3969" w:type="dxa"/>
            <w:shd w:val="clear" w:color="auto" w:fill="auto"/>
          </w:tcPr>
          <w:p w14:paraId="3E4A3055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FD44EA" w:rsidRPr="00FD44EA" w14:paraId="0634FDEE" w14:textId="77777777" w:rsidTr="00593C57">
        <w:tc>
          <w:tcPr>
            <w:tcW w:w="15593" w:type="dxa"/>
            <w:gridSpan w:val="4"/>
            <w:shd w:val="clear" w:color="auto" w:fill="auto"/>
            <w:vAlign w:val="center"/>
          </w:tcPr>
          <w:p w14:paraId="3EFCE048" w14:textId="77777777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FD44EA" w:rsidRPr="00FD44EA" w14:paraId="6B6171F1" w14:textId="77777777" w:rsidTr="00593C57">
        <w:trPr>
          <w:trHeight w:val="259"/>
        </w:trPr>
        <w:tc>
          <w:tcPr>
            <w:tcW w:w="15593" w:type="dxa"/>
            <w:gridSpan w:val="4"/>
            <w:shd w:val="clear" w:color="auto" w:fill="DEEAF6" w:themeFill="accent1" w:themeFillTint="33"/>
          </w:tcPr>
          <w:p w14:paraId="39FE49C9" w14:textId="77777777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</w:rPr>
              <w:t xml:space="preserve">2.3. </w:t>
            </w:r>
            <w:r w:rsidRPr="00FD44EA">
              <w:rPr>
                <w:rFonts w:ascii="Times New Roman" w:eastAsia="Calibri" w:hAnsi="Times New Roman" w:cs="Times New Roman"/>
                <w:color w:val="000000"/>
              </w:rPr>
              <w:t>Вектор – Социальная поддержка</w:t>
            </w:r>
          </w:p>
        </w:tc>
      </w:tr>
      <w:tr w:rsidR="00FD44EA" w:rsidRPr="00FD44EA" w14:paraId="525BCBC1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145D2729" w14:textId="77777777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</w:rPr>
              <w:t>2.3.1.   </w:t>
            </w:r>
            <w:r w:rsidRPr="00FD44EA">
              <w:rPr>
                <w:rFonts w:ascii="Times New Roman" w:eastAsia="Calibri" w:hAnsi="Times New Roman" w:cs="Times New Roman"/>
                <w:color w:val="000000"/>
              </w:rPr>
              <w:t>Мероприятия по нормативно-правовому и организационному обеспечению, регулированию социальной поддержки граждан и охраны труда</w:t>
            </w:r>
          </w:p>
        </w:tc>
        <w:tc>
          <w:tcPr>
            <w:tcW w:w="4253" w:type="dxa"/>
            <w:shd w:val="clear" w:color="auto" w:fill="auto"/>
          </w:tcPr>
          <w:p w14:paraId="54B40611" w14:textId="567BC8A2" w:rsidR="00FD44EA" w:rsidRPr="00FD44EA" w:rsidRDefault="00FD44EA" w:rsidP="00593C57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 xml:space="preserve"> показателей 15, 16, 25, 26, 27</w:t>
            </w:r>
          </w:p>
        </w:tc>
        <w:tc>
          <w:tcPr>
            <w:tcW w:w="3260" w:type="dxa"/>
            <w:shd w:val="clear" w:color="auto" w:fill="auto"/>
          </w:tcPr>
          <w:p w14:paraId="1959A088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988" w14:textId="77777777" w:rsidR="00FD44EA" w:rsidRPr="00FD44EA" w:rsidRDefault="00FD44EA" w:rsidP="00593C5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D44EA" w:rsidRPr="00FD44EA" w14:paraId="4D7B0FEA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26A4918B" w14:textId="35AB4540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2.3.1.1</w:t>
            </w:r>
            <w:r w:rsidRPr="00FD44EA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D44EA">
              <w:rPr>
                <w:rFonts w:ascii="Times New Roman" w:eastAsia="Calibri" w:hAnsi="Times New Roman" w:cs="Times New Roman"/>
              </w:rPr>
              <w:t>.</w:t>
            </w:r>
            <w:r w:rsidRPr="00FD44EA">
              <w:rPr>
                <w:rFonts w:ascii="Times New Roman" w:eastAsia="Calibri" w:hAnsi="Times New Roman" w:cs="Times New Roman"/>
                <w:vertAlign w:val="superscript"/>
              </w:rPr>
              <w:t xml:space="preserve">  </w:t>
            </w:r>
            <w:r w:rsidRPr="00FD44EA">
              <w:rPr>
                <w:rFonts w:ascii="Times New Roman" w:eastAsia="Calibri" w:hAnsi="Times New Roman" w:cs="Times New Roman"/>
              </w:rPr>
              <w:t xml:space="preserve">Ключевое событие «Реализация мер социальной поддержки и предоставление государственных услуг </w:t>
            </w:r>
            <w:r w:rsidR="00100C98">
              <w:rPr>
                <w:rFonts w:ascii="Times New Roman" w:eastAsia="Calibri" w:hAnsi="Times New Roman" w:cs="Times New Roman"/>
              </w:rPr>
              <w:t>отдельным категориям населения»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704097" w14:textId="77777777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 xml:space="preserve">1. Доля граждан, получивших государственные услуги, от общего числа граждан, обратившихся </w:t>
            </w:r>
          </w:p>
          <w:p w14:paraId="776A9215" w14:textId="5D5CF87D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 xml:space="preserve">в орган местного самоуправления </w:t>
            </w:r>
            <w:r w:rsidRPr="00FD44EA">
              <w:rPr>
                <w:rFonts w:ascii="Times New Roman" w:eastAsia="Calibri" w:hAnsi="Times New Roman" w:cs="Times New Roman"/>
              </w:rPr>
              <w:br/>
              <w:t xml:space="preserve">по вопросам опеки и </w:t>
            </w:r>
            <w:r w:rsidR="00100C98">
              <w:rPr>
                <w:rFonts w:ascii="Times New Roman" w:eastAsia="Calibri" w:hAnsi="Times New Roman" w:cs="Times New Roman"/>
              </w:rPr>
              <w:t>попечительства, на уровне 100 %</w:t>
            </w:r>
          </w:p>
          <w:p w14:paraId="4E73166E" w14:textId="7B110D6B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 xml:space="preserve">2. Доля граждан, обеспеченных мерами социальной поддержки, </w:t>
            </w:r>
            <w:r w:rsidRPr="00FD44EA">
              <w:rPr>
                <w:rFonts w:ascii="Times New Roman" w:eastAsia="Calibri" w:hAnsi="Times New Roman" w:cs="Times New Roman"/>
              </w:rPr>
              <w:br/>
            </w:r>
            <w:r w:rsidRPr="00FD44EA">
              <w:rPr>
                <w:rFonts w:ascii="Times New Roman" w:eastAsia="Calibri" w:hAnsi="Times New Roman" w:cs="Times New Roman"/>
              </w:rPr>
              <w:lastRenderedPageBreak/>
              <w:t xml:space="preserve">от численности граждан, имеющих право на их получение </w:t>
            </w:r>
            <w:r w:rsidRPr="00FD44EA">
              <w:rPr>
                <w:rFonts w:ascii="Times New Roman" w:eastAsia="Calibri" w:hAnsi="Times New Roman" w:cs="Times New Roman"/>
              </w:rPr>
              <w:br/>
              <w:t>и обратившихся за</w:t>
            </w:r>
            <w:r w:rsidR="00100C98">
              <w:rPr>
                <w:rFonts w:ascii="Times New Roman" w:eastAsia="Calibri" w:hAnsi="Times New Roman" w:cs="Times New Roman"/>
              </w:rPr>
              <w:t xml:space="preserve"> их получением, </w:t>
            </w:r>
            <w:r w:rsidR="00100C98">
              <w:rPr>
                <w:rFonts w:ascii="Times New Roman" w:eastAsia="Calibri" w:hAnsi="Times New Roman" w:cs="Times New Roman"/>
              </w:rPr>
              <w:br/>
              <w:t>на уровне 100%</w:t>
            </w:r>
          </w:p>
        </w:tc>
        <w:tc>
          <w:tcPr>
            <w:tcW w:w="3260" w:type="dxa"/>
          </w:tcPr>
          <w:p w14:paraId="30305BE5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lastRenderedPageBreak/>
              <w:t>2020</w:t>
            </w:r>
            <w:r w:rsidRPr="00FD44E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D44EA">
              <w:rPr>
                <w:rFonts w:ascii="Times New Roman" w:eastAsia="Calibri" w:hAnsi="Times New Roman" w:cs="Times New Roman"/>
              </w:rPr>
              <w:t>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232D" w14:textId="1F70BA2A" w:rsidR="00FD44EA" w:rsidRPr="00FD44EA" w:rsidRDefault="00FD44EA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1. В соответствии с законом Ханты-Мансийского автономного округа – Югры от 24.02.2022 № 10-оз «О внесении изменений в отдельные законы Ханты-Мансийского автономного округа – Югры и признании утратившим силу Закона Ханты-Мансийского автономного 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 муниципальные образования автономного округа с 01.01.2023 прекратили исполнение переданных отдельных государственных полномочий по осуществлению деятель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>ности по опеке и попечительству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1ABFDC81" w14:textId="2ED9DA0C" w:rsidR="00FD44EA" w:rsidRPr="00FD44EA" w:rsidRDefault="00100C98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2. 100 %</w:t>
            </w:r>
            <w:r w:rsidR="00FD44EA"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  <w:tr w:rsidR="00FD44EA" w:rsidRPr="00FD44EA" w14:paraId="302E3A1C" w14:textId="77777777" w:rsidTr="00593C57">
        <w:trPr>
          <w:trHeight w:val="407"/>
        </w:trPr>
        <w:tc>
          <w:tcPr>
            <w:tcW w:w="4111" w:type="dxa"/>
            <w:shd w:val="clear" w:color="auto" w:fill="auto"/>
          </w:tcPr>
          <w:p w14:paraId="051E4FB0" w14:textId="74B66A03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</w:rPr>
              <w:lastRenderedPageBreak/>
              <w:t xml:space="preserve">2.3.1.2. Ключевое событие «Реализация муниципального правового акта «Об утверждении межведомственного плана мероприятий «дорожной карты» по приобретению (строительству) и предоставлению детям-сиротам </w:t>
            </w:r>
            <w:r w:rsidRPr="00FD44EA">
              <w:rPr>
                <w:rFonts w:ascii="Times New Roman" w:eastAsia="Calibri" w:hAnsi="Times New Roman" w:cs="Times New Roman"/>
              </w:rPr>
              <w:br/>
      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</w:t>
            </w:r>
            <w:r w:rsidR="00100C98">
              <w:rPr>
                <w:rFonts w:ascii="Times New Roman" w:eastAsia="Calibri" w:hAnsi="Times New Roman" w:cs="Times New Roman"/>
              </w:rPr>
              <w:t>иализированных жилых помещений»</w:t>
            </w:r>
          </w:p>
        </w:tc>
        <w:tc>
          <w:tcPr>
            <w:tcW w:w="4253" w:type="dxa"/>
            <w:shd w:val="clear" w:color="auto" w:fill="auto"/>
          </w:tcPr>
          <w:p w14:paraId="76E3D7F2" w14:textId="544007B7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</w:rPr>
              <w:t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</w:t>
            </w:r>
            <w:r w:rsidR="00100C98">
              <w:rPr>
                <w:rFonts w:ascii="Times New Roman" w:eastAsia="Calibri" w:hAnsi="Times New Roman" w:cs="Times New Roman"/>
              </w:rPr>
              <w:t xml:space="preserve"> помещений, 50 человек ежегодно</w:t>
            </w:r>
          </w:p>
        </w:tc>
        <w:tc>
          <w:tcPr>
            <w:tcW w:w="3260" w:type="dxa"/>
            <w:shd w:val="clear" w:color="auto" w:fill="auto"/>
          </w:tcPr>
          <w:p w14:paraId="1DE043EB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6284" w14:textId="194114EF" w:rsidR="00FD44EA" w:rsidRPr="00FD44EA" w:rsidRDefault="00FD44EA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В соответствии с законом Ханты-Мансийского автономного округа – Югры от 24.02.2022 № 10-оз «О внесении изменений в отдельные законы Ханты-Мансийского автономного округа – Югры и признании утратившим силу Закона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</w:t>
            </w:r>
            <w:r w:rsidRPr="00FD4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полномочия по приобретению (строительству) жилых помещений  </w:t>
            </w:r>
            <w:r w:rsidRPr="00FD44EA">
              <w:rPr>
                <w:rFonts w:ascii="Times New Roman" w:eastAsia="Calibri" w:hAnsi="Times New Roman" w:cs="Times New Roman"/>
              </w:rPr>
              <w:t xml:space="preserve">детям-сиротам и детям, оставшимся без попечения родителей, лицам из числа детей-сирот и детей, </w:t>
            </w:r>
            <w:r w:rsidRPr="00FD44EA">
              <w:rPr>
                <w:rFonts w:ascii="Times New Roman" w:eastAsia="Calibri" w:hAnsi="Times New Roman" w:cs="Times New Roman"/>
              </w:rPr>
              <w:lastRenderedPageBreak/>
              <w:t xml:space="preserve">оставшихся без попечения родителей, ведению списков лиц, подлежащих обеспечению жилыми помещениями переданы в 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Департамент социального развития Ханты-Мансий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>ского автономного округа – Югры</w:t>
            </w:r>
          </w:p>
          <w:p w14:paraId="5662CD95" w14:textId="77777777" w:rsidR="00FD44EA" w:rsidRPr="00FD44EA" w:rsidRDefault="00FD44EA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Орган местного самоуправления осуществляет предоставление жилых помещений данной категории граждан. </w:t>
            </w:r>
          </w:p>
          <w:p w14:paraId="67512CBD" w14:textId="7F96B0D1" w:rsidR="00FD44EA" w:rsidRPr="00FD44EA" w:rsidRDefault="00FD44EA" w:rsidP="00593C57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В 2023 году пр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>едоставлено 150 жилых помещений</w:t>
            </w:r>
          </w:p>
        </w:tc>
      </w:tr>
      <w:tr w:rsidR="00FD44EA" w:rsidRPr="00FD44EA" w14:paraId="28451F1A" w14:textId="77777777" w:rsidTr="00C845F2">
        <w:trPr>
          <w:trHeight w:val="1657"/>
        </w:trPr>
        <w:tc>
          <w:tcPr>
            <w:tcW w:w="4111" w:type="dxa"/>
            <w:shd w:val="clear" w:color="auto" w:fill="auto"/>
          </w:tcPr>
          <w:p w14:paraId="787809C7" w14:textId="4A4A4CBD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2.3.1.3. Ключевое событие «Корректировка/реализация муниципальной программы в сфере </w:t>
            </w:r>
            <w:r w:rsidRPr="00FD44EA">
              <w:rPr>
                <w:rFonts w:ascii="Times New Roman" w:eastAsia="Calibri" w:hAnsi="Times New Roman" w:cs="Times New Roman"/>
              </w:rPr>
              <w:t>организации ритуальных услуг и содержания объ</w:t>
            </w:r>
            <w:r w:rsidR="00100C98">
              <w:rPr>
                <w:rFonts w:ascii="Times New Roman" w:eastAsia="Calibri" w:hAnsi="Times New Roman" w:cs="Times New Roman"/>
              </w:rPr>
              <w:t>ектов похоронного обслуживания»</w:t>
            </w:r>
          </w:p>
        </w:tc>
        <w:tc>
          <w:tcPr>
            <w:tcW w:w="4253" w:type="dxa"/>
            <w:shd w:val="clear" w:color="auto" w:fill="auto"/>
          </w:tcPr>
          <w:p w14:paraId="301C0DAE" w14:textId="75EF609D" w:rsidR="00FD44EA" w:rsidRPr="00FD44EA" w:rsidRDefault="00FD44EA" w:rsidP="00593C57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Доля предоставленных ритуальных услуг по погребению от об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>щего количества обращений, 100%</w:t>
            </w:r>
          </w:p>
        </w:tc>
        <w:tc>
          <w:tcPr>
            <w:tcW w:w="3260" w:type="dxa"/>
            <w:shd w:val="clear" w:color="auto" w:fill="auto"/>
          </w:tcPr>
          <w:p w14:paraId="3F45A5C0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  <w:p w14:paraId="6DF492E9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11E" w14:textId="2B9FC4C8" w:rsidR="00FD44EA" w:rsidRPr="00FD44EA" w:rsidRDefault="00FD44EA" w:rsidP="00593C5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  <w:color w:val="000000" w:themeColor="text1"/>
              </w:rPr>
              <w:t>Количество обращений на предоставление услуг по </w:t>
            </w:r>
            <w:r w:rsidRPr="00FD44EA">
              <w:rPr>
                <w:rFonts w:ascii="Times New Roman" w:hAnsi="Times New Roman" w:cs="Times New Roman"/>
              </w:rPr>
              <w:t xml:space="preserve">погребению – </w:t>
            </w:r>
            <w:r w:rsidRPr="00FD44EA">
              <w:rPr>
                <w:rFonts w:ascii="Times New Roman" w:eastAsia="Times New Roman" w:hAnsi="Times New Roman" w:cs="Times New Roman"/>
              </w:rPr>
              <w:t>2</w:t>
            </w:r>
            <w:r w:rsidR="001762F5">
              <w:rPr>
                <w:rFonts w:ascii="Times New Roman" w:eastAsia="Times New Roman" w:hAnsi="Times New Roman" w:cs="Times New Roman"/>
              </w:rPr>
              <w:t xml:space="preserve"> </w:t>
            </w:r>
            <w:r w:rsidRPr="00FD44EA">
              <w:rPr>
                <w:rFonts w:ascii="Times New Roman" w:eastAsia="Times New Roman" w:hAnsi="Times New Roman" w:cs="Times New Roman"/>
              </w:rPr>
              <w:t>447.</w:t>
            </w:r>
          </w:p>
          <w:p w14:paraId="0D4B994F" w14:textId="2B4D0A18" w:rsidR="00C845F2" w:rsidRPr="00C845F2" w:rsidRDefault="00FD44EA" w:rsidP="00593C5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D44EA">
              <w:rPr>
                <w:rFonts w:ascii="Times New Roman" w:hAnsi="Times New Roman" w:cs="Times New Roman"/>
              </w:rPr>
              <w:t xml:space="preserve">Количество предоставленных услуг по погребению – </w:t>
            </w:r>
            <w:r w:rsidR="00100C98">
              <w:rPr>
                <w:rFonts w:ascii="Times New Roman" w:eastAsia="Times New Roman" w:hAnsi="Times New Roman" w:cs="Times New Roman"/>
              </w:rPr>
              <w:t>2</w:t>
            </w:r>
            <w:r w:rsidR="001762F5">
              <w:rPr>
                <w:rFonts w:ascii="Times New Roman" w:eastAsia="Times New Roman" w:hAnsi="Times New Roman" w:cs="Times New Roman"/>
              </w:rPr>
              <w:t xml:space="preserve"> </w:t>
            </w:r>
            <w:r w:rsidR="00100C98">
              <w:rPr>
                <w:rFonts w:ascii="Times New Roman" w:eastAsia="Times New Roman" w:hAnsi="Times New Roman" w:cs="Times New Roman"/>
              </w:rPr>
              <w:t>447</w:t>
            </w:r>
          </w:p>
        </w:tc>
      </w:tr>
      <w:tr w:rsidR="00FD44EA" w:rsidRPr="00FD44EA" w14:paraId="5733E38F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7EC6F325" w14:textId="25AD0E0F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2.3.1.4. Ключевое событие «Корректировка/реализация муниципальной программы в сфере ул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>учшения условий и охраны труда»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6AD651" w14:textId="769FC5A4" w:rsidR="00FD44EA" w:rsidRPr="00FD44EA" w:rsidRDefault="00FD44EA" w:rsidP="00593C57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Издание не менее 6 муниципальных правовых актов по</w:t>
            </w:r>
            <w:r w:rsidR="00100C98">
              <w:rPr>
                <w:rFonts w:ascii="Times New Roman" w:eastAsia="Calibri" w:hAnsi="Times New Roman" w:cs="Times New Roman"/>
              </w:rPr>
              <w:t xml:space="preserve"> вопросам охраны труда ежегодно</w:t>
            </w:r>
          </w:p>
        </w:tc>
        <w:tc>
          <w:tcPr>
            <w:tcW w:w="3260" w:type="dxa"/>
            <w:shd w:val="clear" w:color="auto" w:fill="auto"/>
          </w:tcPr>
          <w:p w14:paraId="6AACAF46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9AC2" w14:textId="35813F82" w:rsidR="00C845F2" w:rsidRPr="00C845F2" w:rsidRDefault="007E55B2" w:rsidP="00591EE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 w:rsidR="00FD44EA" w:rsidRPr="00FD44EA">
              <w:rPr>
                <w:rFonts w:ascii="Times New Roman" w:eastAsiaTheme="minorHAnsi" w:hAnsi="Times New Roman" w:cs="Times New Roman"/>
                <w:lang w:eastAsia="en-US"/>
              </w:rPr>
              <w:t xml:space="preserve">здано 6 муниципальных правовых актов по вопросам 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>охраны труда</w:t>
            </w:r>
          </w:p>
        </w:tc>
      </w:tr>
      <w:tr w:rsidR="00FD44EA" w:rsidRPr="00FD44EA" w14:paraId="1ACCA687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7CADD20B" w14:textId="69991BB3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2.3.1.5</w:t>
            </w:r>
            <w:r w:rsidRPr="00FD44EA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FD44EA">
              <w:rPr>
                <w:rFonts w:ascii="Times New Roman" w:eastAsia="Calibri" w:hAnsi="Times New Roman" w:cs="Times New Roman"/>
              </w:rPr>
              <w:t xml:space="preserve">.  Ключевое событие «Реализация мер социальной поддержки по проезду в городском пассажирском транспорте общего пользования </w:t>
            </w:r>
            <w:r w:rsidR="00100C98">
              <w:rPr>
                <w:rFonts w:ascii="Times New Roman" w:eastAsia="Calibri" w:hAnsi="Times New Roman" w:cs="Times New Roman"/>
              </w:rPr>
              <w:t>отдельным категориям населения»</w:t>
            </w:r>
          </w:p>
        </w:tc>
        <w:tc>
          <w:tcPr>
            <w:tcW w:w="4253" w:type="dxa"/>
            <w:shd w:val="clear" w:color="auto" w:fill="auto"/>
          </w:tcPr>
          <w:p w14:paraId="335FDBD2" w14:textId="757DEBB6" w:rsidR="00FD44EA" w:rsidRPr="00FD44EA" w:rsidRDefault="00FD44EA" w:rsidP="00593C57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Доля граждан, обеспеченных мерами социальной поддержки по проезду в городском пассажирском транспорте общего пользования, от численности граждан, имеющих право на их получение, и обратившихся з</w:t>
            </w:r>
            <w:r w:rsidR="00100C98">
              <w:rPr>
                <w:rFonts w:ascii="Times New Roman" w:eastAsia="Calibri" w:hAnsi="Times New Roman" w:cs="Times New Roman"/>
              </w:rPr>
              <w:t>а их получением, на уровне 100%</w:t>
            </w:r>
          </w:p>
        </w:tc>
        <w:tc>
          <w:tcPr>
            <w:tcW w:w="3260" w:type="dxa"/>
            <w:shd w:val="clear" w:color="auto" w:fill="auto"/>
          </w:tcPr>
          <w:p w14:paraId="7F80C972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2020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77D" w14:textId="77777777" w:rsidR="00FD44EA" w:rsidRPr="00FD44EA" w:rsidRDefault="00FD44EA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Услуга предоставлена 100% граждан, имеющих право на получение, из числа обратившихся за получением услуги.</w:t>
            </w:r>
          </w:p>
          <w:p w14:paraId="0DC35CD2" w14:textId="4589019A" w:rsidR="00FD44EA" w:rsidRPr="00FD44EA" w:rsidRDefault="00FD44EA" w:rsidP="00C845F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Выдано 21</w:t>
            </w:r>
            <w:r w:rsidR="001762F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>46 социальных транспортных карт</w:t>
            </w:r>
          </w:p>
        </w:tc>
      </w:tr>
      <w:tr w:rsidR="00FD44EA" w:rsidRPr="00FD44EA" w14:paraId="64625AB8" w14:textId="77777777" w:rsidTr="00C845F2">
        <w:trPr>
          <w:trHeight w:val="843"/>
        </w:trPr>
        <w:tc>
          <w:tcPr>
            <w:tcW w:w="4111" w:type="dxa"/>
            <w:shd w:val="clear" w:color="auto" w:fill="auto"/>
          </w:tcPr>
          <w:p w14:paraId="381D5266" w14:textId="2B32B2D7" w:rsidR="00FD44EA" w:rsidRPr="00FD44EA" w:rsidRDefault="00FD44EA" w:rsidP="00593C57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2.3.1.7. Ключевое событие «Предоставление налоговых льгот в соответствии с решениями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 xml:space="preserve"> Думы города о местных налогах»</w:t>
            </w:r>
          </w:p>
          <w:p w14:paraId="57EEE639" w14:textId="77777777" w:rsidR="00FD44EA" w:rsidRPr="00FD44EA" w:rsidRDefault="00FD44EA" w:rsidP="00593C57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3030A61" w14:textId="77777777" w:rsidR="00FD44EA" w:rsidRPr="00FD44EA" w:rsidRDefault="00FD44EA" w:rsidP="00593C57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Количество категорий граждан, которым предоставлены налоговые льготы в соответствии с решениями Думы города о местных налогах (ежегодно с учётом сроков уплаты налогов физическими лицами):</w:t>
            </w:r>
          </w:p>
          <w:p w14:paraId="0E21E208" w14:textId="50EF28DA" w:rsidR="00FD44EA" w:rsidRPr="00FD44EA" w:rsidRDefault="00100C98" w:rsidP="00593C57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15 ед. ежегодно</w:t>
            </w:r>
          </w:p>
        </w:tc>
        <w:tc>
          <w:tcPr>
            <w:tcW w:w="3260" w:type="dxa"/>
            <w:shd w:val="clear" w:color="auto" w:fill="auto"/>
          </w:tcPr>
          <w:p w14:paraId="44E90FD1" w14:textId="77777777" w:rsidR="00FD44EA" w:rsidRPr="00FD44EA" w:rsidRDefault="00FD44EA" w:rsidP="00593C5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  <w:p w14:paraId="3C10A6A2" w14:textId="77777777" w:rsidR="00FD44EA" w:rsidRPr="00FD44EA" w:rsidRDefault="00FD44EA" w:rsidP="00593C57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5749" w14:textId="33B4A0A3" w:rsidR="00FD44EA" w:rsidRPr="00FD44EA" w:rsidRDefault="00FD44EA" w:rsidP="00593C57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15-ти  категориям граждан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 xml:space="preserve"> предоставлены налоговые льготы</w:t>
            </w:r>
          </w:p>
        </w:tc>
      </w:tr>
      <w:tr w:rsidR="00FD44EA" w:rsidRPr="00FD44EA" w14:paraId="26B23E77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2C3F1E76" w14:textId="51242322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lastRenderedPageBreak/>
              <w:t>2.3.2.  Мероприятия по информационно - маркетинговому обеспечению социальной поддержки гр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>аждан и улучшению условий труда</w:t>
            </w:r>
          </w:p>
        </w:tc>
        <w:tc>
          <w:tcPr>
            <w:tcW w:w="4253" w:type="dxa"/>
            <w:shd w:val="clear" w:color="auto" w:fill="auto"/>
          </w:tcPr>
          <w:p w14:paraId="0C8051A3" w14:textId="1CA9F83B" w:rsidR="00FD44EA" w:rsidRPr="00FD44EA" w:rsidRDefault="00FD44EA" w:rsidP="00593C57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</w:t>
            </w:r>
            <w:r w:rsidRPr="00FD44E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>16, 25, 26</w:t>
            </w:r>
          </w:p>
        </w:tc>
        <w:tc>
          <w:tcPr>
            <w:tcW w:w="3260" w:type="dxa"/>
            <w:shd w:val="clear" w:color="auto" w:fill="auto"/>
          </w:tcPr>
          <w:p w14:paraId="31C8999B" w14:textId="77777777" w:rsidR="00FD44EA" w:rsidRPr="00FD44EA" w:rsidRDefault="00FD44EA" w:rsidP="00593C57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C68" w14:textId="77777777" w:rsidR="00FD44EA" w:rsidRPr="00FD44EA" w:rsidRDefault="00FD44EA" w:rsidP="00593C5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D44EA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FD44EA" w:rsidRPr="00FD44EA" w14:paraId="0F9537E9" w14:textId="77777777" w:rsidTr="00593C57">
        <w:trPr>
          <w:trHeight w:val="710"/>
        </w:trPr>
        <w:tc>
          <w:tcPr>
            <w:tcW w:w="4111" w:type="dxa"/>
            <w:shd w:val="clear" w:color="auto" w:fill="auto"/>
          </w:tcPr>
          <w:p w14:paraId="1F13184D" w14:textId="77777777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2.3.2.2. Подмероприятие 2.</w:t>
            </w:r>
          </w:p>
          <w:p w14:paraId="3A97F6DF" w14:textId="3D3CE203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«Содействие улучшению условий и охраны труда, обеспечивающих сохранение жизни и здоровья</w:t>
            </w:r>
            <w:r w:rsidR="00100C98">
              <w:rPr>
                <w:rFonts w:ascii="Times New Roman" w:eastAsia="Calibri" w:hAnsi="Times New Roman" w:cs="Times New Roman"/>
                <w:color w:val="000000"/>
              </w:rPr>
              <w:t xml:space="preserve"> работников организаций города»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E6ABFD" w14:textId="77777777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FD44EA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Проведение семинаров-совещаний, семинаров-практикумов, мастер-классов </w:t>
            </w:r>
            <w:r w:rsidRPr="00FD44EA">
              <w:rPr>
                <w:rFonts w:ascii="Times New Roman" w:eastAsia="Calibri" w:hAnsi="Times New Roman" w:cs="Times New Roman"/>
                <w:bCs/>
              </w:rPr>
              <w:t>по охране труда:</w:t>
            </w:r>
          </w:p>
          <w:p w14:paraId="16610718" w14:textId="77777777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FD44EA">
              <w:rPr>
                <w:rFonts w:ascii="Times New Roman" w:eastAsia="Calibri" w:hAnsi="Times New Roman" w:cs="Times New Roman"/>
              </w:rPr>
              <w:t>II этап</w:t>
            </w:r>
            <w:r w:rsidRPr="00FD44E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D44EA">
              <w:rPr>
                <w:rFonts w:ascii="Times New Roman" w:eastAsia="Calibri" w:hAnsi="Times New Roman" w:cs="Times New Roman"/>
              </w:rPr>
              <w:t xml:space="preserve">– </w:t>
            </w:r>
            <w:r w:rsidRPr="00FD44EA">
              <w:rPr>
                <w:rFonts w:ascii="Times New Roman" w:eastAsia="Calibri" w:hAnsi="Times New Roman" w:cs="Times New Roman"/>
                <w:bCs/>
                <w:color w:val="000000"/>
              </w:rPr>
              <w:t>25 мероприятий;</w:t>
            </w:r>
          </w:p>
          <w:p w14:paraId="2359D2B3" w14:textId="4C6827AE" w:rsidR="00FD44EA" w:rsidRPr="00FD44EA" w:rsidRDefault="00FD44EA" w:rsidP="00593C5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</w:rPr>
              <w:t>III этап</w:t>
            </w:r>
            <w:r w:rsidRPr="00FD44E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D44EA">
              <w:rPr>
                <w:rFonts w:ascii="Times New Roman" w:eastAsia="Calibri" w:hAnsi="Times New Roman" w:cs="Times New Roman"/>
              </w:rPr>
              <w:t xml:space="preserve">– </w:t>
            </w:r>
            <w:r w:rsidR="00100C98">
              <w:rPr>
                <w:rFonts w:ascii="Times New Roman" w:eastAsia="Calibri" w:hAnsi="Times New Roman" w:cs="Times New Roman"/>
                <w:bCs/>
                <w:color w:val="000000"/>
              </w:rPr>
              <w:t>35 мероприятий</w:t>
            </w:r>
          </w:p>
        </w:tc>
        <w:tc>
          <w:tcPr>
            <w:tcW w:w="3260" w:type="dxa"/>
            <w:shd w:val="clear" w:color="auto" w:fill="auto"/>
          </w:tcPr>
          <w:p w14:paraId="47F4F298" w14:textId="77777777" w:rsidR="00FD44EA" w:rsidRPr="00FD44EA" w:rsidRDefault="00FD44EA" w:rsidP="00593C57">
            <w:pPr>
              <w:ind w:left="-108" w:right="-108" w:firstLine="138"/>
              <w:jc w:val="center"/>
              <w:rPr>
                <w:rFonts w:ascii="Times New Roman" w:eastAsia="Calibri" w:hAnsi="Times New Roman" w:cs="Times New Roman"/>
              </w:rPr>
            </w:pPr>
            <w:r w:rsidRPr="00FD44EA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74A" w14:textId="43F7F60A" w:rsidR="00146EB8" w:rsidRDefault="00FD16E3" w:rsidP="00146E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r w:rsidR="00146EB8">
              <w:rPr>
                <w:rFonts w:ascii="Times New Roman" w:eastAsiaTheme="minorHAnsi" w:hAnsi="Times New Roman" w:cs="Times New Roman"/>
                <w:lang w:eastAsia="en-US"/>
              </w:rPr>
              <w:t xml:space="preserve">роведено 5 мероприятий по охране труда </w:t>
            </w:r>
            <w:r w:rsidR="007C70DD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="00146EB8">
              <w:rPr>
                <w:rFonts w:ascii="Times New Roman" w:eastAsiaTheme="minorHAnsi" w:hAnsi="Times New Roman" w:cs="Times New Roman"/>
                <w:lang w:eastAsia="en-US"/>
              </w:rPr>
              <w:t>(3 смотра-конкурса, 1 маст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t xml:space="preserve">ер-класс, </w:t>
            </w:r>
            <w:r w:rsidR="00100C98">
              <w:rPr>
                <w:rFonts w:ascii="Times New Roman" w:eastAsiaTheme="minorHAnsi" w:hAnsi="Times New Roman" w:cs="Times New Roman"/>
                <w:lang w:eastAsia="en-US"/>
              </w:rPr>
              <w:br/>
              <w:t>1 семинар-совещание)</w:t>
            </w:r>
          </w:p>
          <w:p w14:paraId="43CFA261" w14:textId="77777777" w:rsidR="00FD44EA" w:rsidRPr="00FD44EA" w:rsidRDefault="00FD44EA" w:rsidP="00146E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6A8EA2DC" w14:textId="77777777" w:rsidR="00FD44EA" w:rsidRPr="00FD44EA" w:rsidRDefault="00FD44EA" w:rsidP="00FD44EA">
      <w:pPr>
        <w:jc w:val="center"/>
        <w:rPr>
          <w:rFonts w:ascii="Times New Roman" w:eastAsia="Calibri" w:hAnsi="Times New Roman" w:cs="Times New Roman"/>
        </w:rPr>
      </w:pPr>
    </w:p>
    <w:p w14:paraId="7D0ABB1E" w14:textId="77777777" w:rsidR="00FD44EA" w:rsidRPr="00FD44EA" w:rsidRDefault="00FD44EA" w:rsidP="00FD44EA">
      <w:pPr>
        <w:jc w:val="center"/>
        <w:rPr>
          <w:rFonts w:ascii="Times New Roman" w:hAnsi="Times New Roman" w:cs="Times New Roman"/>
        </w:rPr>
      </w:pPr>
    </w:p>
    <w:p w14:paraId="38A08897" w14:textId="1FB96F01" w:rsidR="00FD44EA" w:rsidRPr="00FD44EA" w:rsidRDefault="00FD44EA" w:rsidP="00FD44EA">
      <w:pPr>
        <w:ind w:firstLine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3245AA21" w14:textId="27E42BA4"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sectPr w:rsidR="00C671BF" w:rsidSect="005A008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8AD18" w14:textId="77777777" w:rsidR="00DF7CCF" w:rsidRDefault="00DF7CCF" w:rsidP="00B84EA8">
      <w:r>
        <w:separator/>
      </w:r>
    </w:p>
  </w:endnote>
  <w:endnote w:type="continuationSeparator" w:id="0">
    <w:p w14:paraId="1A9B81BA" w14:textId="77777777" w:rsidR="00DF7CCF" w:rsidRDefault="00DF7CCF" w:rsidP="00B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915C" w14:textId="77777777" w:rsidR="00DF7CCF" w:rsidRDefault="00DF7CCF" w:rsidP="00B84EA8">
      <w:r>
        <w:separator/>
      </w:r>
    </w:p>
  </w:footnote>
  <w:footnote w:type="continuationSeparator" w:id="0">
    <w:p w14:paraId="60483DF8" w14:textId="77777777" w:rsidR="00DF7CCF" w:rsidRDefault="00DF7CCF" w:rsidP="00B8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D1EC0"/>
    <w:multiLevelType w:val="hybridMultilevel"/>
    <w:tmpl w:val="C648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11BA4"/>
    <w:rsid w:val="0002057E"/>
    <w:rsid w:val="000274A1"/>
    <w:rsid w:val="000308BF"/>
    <w:rsid w:val="00032BDD"/>
    <w:rsid w:val="0004701A"/>
    <w:rsid w:val="00061ACE"/>
    <w:rsid w:val="00063260"/>
    <w:rsid w:val="000B4115"/>
    <w:rsid w:val="000C0672"/>
    <w:rsid w:val="000D76BB"/>
    <w:rsid w:val="000E2E3D"/>
    <w:rsid w:val="000E3EF7"/>
    <w:rsid w:val="000F2574"/>
    <w:rsid w:val="00100C98"/>
    <w:rsid w:val="00117038"/>
    <w:rsid w:val="00120A0E"/>
    <w:rsid w:val="00146EB8"/>
    <w:rsid w:val="001501B3"/>
    <w:rsid w:val="00165418"/>
    <w:rsid w:val="00167B1E"/>
    <w:rsid w:val="001762F5"/>
    <w:rsid w:val="0018417E"/>
    <w:rsid w:val="001A4F1E"/>
    <w:rsid w:val="001A5F8D"/>
    <w:rsid w:val="001C3FE2"/>
    <w:rsid w:val="001C5ACD"/>
    <w:rsid w:val="001C7519"/>
    <w:rsid w:val="001D26B0"/>
    <w:rsid w:val="00204E96"/>
    <w:rsid w:val="00234A3C"/>
    <w:rsid w:val="00234FAC"/>
    <w:rsid w:val="00256F08"/>
    <w:rsid w:val="002604EC"/>
    <w:rsid w:val="002716F2"/>
    <w:rsid w:val="0027765A"/>
    <w:rsid w:val="00277CB2"/>
    <w:rsid w:val="002B0485"/>
    <w:rsid w:val="002B2063"/>
    <w:rsid w:val="002B4922"/>
    <w:rsid w:val="002B77E6"/>
    <w:rsid w:val="002C0C61"/>
    <w:rsid w:val="002C4D37"/>
    <w:rsid w:val="002D1309"/>
    <w:rsid w:val="002D5EC3"/>
    <w:rsid w:val="002E5F7A"/>
    <w:rsid w:val="0030390D"/>
    <w:rsid w:val="003128FE"/>
    <w:rsid w:val="0032716E"/>
    <w:rsid w:val="00331B27"/>
    <w:rsid w:val="0034360B"/>
    <w:rsid w:val="003761FF"/>
    <w:rsid w:val="003A7C05"/>
    <w:rsid w:val="003D13BA"/>
    <w:rsid w:val="003E456B"/>
    <w:rsid w:val="0041009A"/>
    <w:rsid w:val="004274E6"/>
    <w:rsid w:val="00442C1F"/>
    <w:rsid w:val="00443DF7"/>
    <w:rsid w:val="004478BB"/>
    <w:rsid w:val="00455324"/>
    <w:rsid w:val="004643F1"/>
    <w:rsid w:val="004829C3"/>
    <w:rsid w:val="004844DD"/>
    <w:rsid w:val="00492D09"/>
    <w:rsid w:val="00493001"/>
    <w:rsid w:val="004C4A9E"/>
    <w:rsid w:val="004F1A6C"/>
    <w:rsid w:val="00500331"/>
    <w:rsid w:val="00504D19"/>
    <w:rsid w:val="0052077F"/>
    <w:rsid w:val="00520E9E"/>
    <w:rsid w:val="00584ED5"/>
    <w:rsid w:val="00586089"/>
    <w:rsid w:val="00591EE7"/>
    <w:rsid w:val="00595626"/>
    <w:rsid w:val="005A008E"/>
    <w:rsid w:val="005A00F3"/>
    <w:rsid w:val="005A0EF7"/>
    <w:rsid w:val="005A3DA7"/>
    <w:rsid w:val="005B40EE"/>
    <w:rsid w:val="005C3875"/>
    <w:rsid w:val="005E7639"/>
    <w:rsid w:val="0060662F"/>
    <w:rsid w:val="00606EC3"/>
    <w:rsid w:val="00626A2C"/>
    <w:rsid w:val="006455BA"/>
    <w:rsid w:val="006520A2"/>
    <w:rsid w:val="00693FA0"/>
    <w:rsid w:val="006956D7"/>
    <w:rsid w:val="00697C72"/>
    <w:rsid w:val="006A526A"/>
    <w:rsid w:val="006B39E1"/>
    <w:rsid w:val="006D42AF"/>
    <w:rsid w:val="006D707B"/>
    <w:rsid w:val="006D78D1"/>
    <w:rsid w:val="006E532D"/>
    <w:rsid w:val="006F4EED"/>
    <w:rsid w:val="00707508"/>
    <w:rsid w:val="0071478B"/>
    <w:rsid w:val="00721BEB"/>
    <w:rsid w:val="00722603"/>
    <w:rsid w:val="0072453A"/>
    <w:rsid w:val="00740D40"/>
    <w:rsid w:val="00744F79"/>
    <w:rsid w:val="00785EEF"/>
    <w:rsid w:val="007B3EAA"/>
    <w:rsid w:val="007C70DD"/>
    <w:rsid w:val="007D4EF5"/>
    <w:rsid w:val="007D7CA1"/>
    <w:rsid w:val="007E0650"/>
    <w:rsid w:val="007E55B2"/>
    <w:rsid w:val="008172F4"/>
    <w:rsid w:val="00823260"/>
    <w:rsid w:val="00835565"/>
    <w:rsid w:val="008368E5"/>
    <w:rsid w:val="00870889"/>
    <w:rsid w:val="00877222"/>
    <w:rsid w:val="008861E3"/>
    <w:rsid w:val="008916F3"/>
    <w:rsid w:val="008C79FD"/>
    <w:rsid w:val="008F7C43"/>
    <w:rsid w:val="00925C33"/>
    <w:rsid w:val="009323C5"/>
    <w:rsid w:val="00934377"/>
    <w:rsid w:val="00947155"/>
    <w:rsid w:val="00954F1D"/>
    <w:rsid w:val="009A3310"/>
    <w:rsid w:val="009A5390"/>
    <w:rsid w:val="009C6F19"/>
    <w:rsid w:val="009D0466"/>
    <w:rsid w:val="00A0513A"/>
    <w:rsid w:val="00A157A0"/>
    <w:rsid w:val="00A240C0"/>
    <w:rsid w:val="00A356B4"/>
    <w:rsid w:val="00A36820"/>
    <w:rsid w:val="00A40137"/>
    <w:rsid w:val="00A517EF"/>
    <w:rsid w:val="00A52B6B"/>
    <w:rsid w:val="00A605A2"/>
    <w:rsid w:val="00A65A21"/>
    <w:rsid w:val="00A72369"/>
    <w:rsid w:val="00A9787C"/>
    <w:rsid w:val="00AA40B5"/>
    <w:rsid w:val="00AA7488"/>
    <w:rsid w:val="00AA78BB"/>
    <w:rsid w:val="00AB15E6"/>
    <w:rsid w:val="00AC5C55"/>
    <w:rsid w:val="00AC6FAF"/>
    <w:rsid w:val="00AD574A"/>
    <w:rsid w:val="00B340A9"/>
    <w:rsid w:val="00B431E3"/>
    <w:rsid w:val="00B47354"/>
    <w:rsid w:val="00B6063E"/>
    <w:rsid w:val="00B60783"/>
    <w:rsid w:val="00B71B5D"/>
    <w:rsid w:val="00B73BEE"/>
    <w:rsid w:val="00B756AF"/>
    <w:rsid w:val="00B84EA8"/>
    <w:rsid w:val="00BA12AF"/>
    <w:rsid w:val="00BB7CF2"/>
    <w:rsid w:val="00BD0590"/>
    <w:rsid w:val="00BE0B1D"/>
    <w:rsid w:val="00C03614"/>
    <w:rsid w:val="00C11538"/>
    <w:rsid w:val="00C1399C"/>
    <w:rsid w:val="00C14ED8"/>
    <w:rsid w:val="00C17AFD"/>
    <w:rsid w:val="00C20FAF"/>
    <w:rsid w:val="00C235A6"/>
    <w:rsid w:val="00C4048F"/>
    <w:rsid w:val="00C457BD"/>
    <w:rsid w:val="00C62E53"/>
    <w:rsid w:val="00C671BF"/>
    <w:rsid w:val="00C70555"/>
    <w:rsid w:val="00C81CCA"/>
    <w:rsid w:val="00C839F5"/>
    <w:rsid w:val="00C845F2"/>
    <w:rsid w:val="00CA00A6"/>
    <w:rsid w:val="00CA12A9"/>
    <w:rsid w:val="00CA2971"/>
    <w:rsid w:val="00CB73FD"/>
    <w:rsid w:val="00CC0199"/>
    <w:rsid w:val="00CD74DA"/>
    <w:rsid w:val="00CE6DBB"/>
    <w:rsid w:val="00CF7180"/>
    <w:rsid w:val="00D15C6C"/>
    <w:rsid w:val="00D24835"/>
    <w:rsid w:val="00D26CD3"/>
    <w:rsid w:val="00D335EF"/>
    <w:rsid w:val="00D34FBE"/>
    <w:rsid w:val="00D86B7A"/>
    <w:rsid w:val="00DB0924"/>
    <w:rsid w:val="00DB3792"/>
    <w:rsid w:val="00DB7389"/>
    <w:rsid w:val="00DB7A9E"/>
    <w:rsid w:val="00DE7846"/>
    <w:rsid w:val="00DF7CCF"/>
    <w:rsid w:val="00E05493"/>
    <w:rsid w:val="00E114B6"/>
    <w:rsid w:val="00E24038"/>
    <w:rsid w:val="00E2493D"/>
    <w:rsid w:val="00E2585B"/>
    <w:rsid w:val="00E438B8"/>
    <w:rsid w:val="00E7406F"/>
    <w:rsid w:val="00E75A8F"/>
    <w:rsid w:val="00E76A71"/>
    <w:rsid w:val="00E934CB"/>
    <w:rsid w:val="00EB2140"/>
    <w:rsid w:val="00EB364D"/>
    <w:rsid w:val="00EB4A6D"/>
    <w:rsid w:val="00ED3A72"/>
    <w:rsid w:val="00EE3E2F"/>
    <w:rsid w:val="00EF30CD"/>
    <w:rsid w:val="00F05CAE"/>
    <w:rsid w:val="00F14D23"/>
    <w:rsid w:val="00F157F4"/>
    <w:rsid w:val="00F35EA8"/>
    <w:rsid w:val="00F42552"/>
    <w:rsid w:val="00F64D08"/>
    <w:rsid w:val="00F74368"/>
    <w:rsid w:val="00F75AC8"/>
    <w:rsid w:val="00F8082B"/>
    <w:rsid w:val="00F86146"/>
    <w:rsid w:val="00F92823"/>
    <w:rsid w:val="00FB24BF"/>
    <w:rsid w:val="00FD16E3"/>
    <w:rsid w:val="00FD1ABE"/>
    <w:rsid w:val="00FD4292"/>
    <w:rsid w:val="00FD44EA"/>
    <w:rsid w:val="00FE4F12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A6B5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4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4C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84E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EA8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E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EA8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27765A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E0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5493"/>
    <w:rPr>
      <w:color w:val="0563C1" w:themeColor="hyperlink"/>
      <w:u w:val="single"/>
    </w:rPr>
  </w:style>
  <w:style w:type="character" w:customStyle="1" w:styleId="af">
    <w:name w:val="Абзац списка Знак"/>
    <w:link w:val="ae"/>
    <w:uiPriority w:val="34"/>
    <w:locked/>
    <w:rsid w:val="00E0549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E05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E05493"/>
    <w:pPr>
      <w:widowControl/>
      <w:ind w:left="1612" w:hanging="892"/>
    </w:pPr>
    <w:rPr>
      <w:rFonts w:eastAsia="Times New Roman"/>
    </w:rPr>
  </w:style>
  <w:style w:type="paragraph" w:styleId="af2">
    <w:name w:val="No Spacing"/>
    <w:uiPriority w:val="1"/>
    <w:qFormat/>
    <w:rsid w:val="002716F2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EB21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214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2140"/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B21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B2140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48A4-0392-4E53-89DC-71E76CC2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</cp:revision>
  <cp:lastPrinted>2022-11-29T11:22:00Z</cp:lastPrinted>
  <dcterms:created xsi:type="dcterms:W3CDTF">2023-12-12T05:23:00Z</dcterms:created>
  <dcterms:modified xsi:type="dcterms:W3CDTF">2023-12-12T05:23:00Z</dcterms:modified>
</cp:coreProperties>
</file>