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DF1DC4" w:rsidRPr="00DF1DC4">
        <w:rPr>
          <w:b/>
          <w:color w:val="000000"/>
          <w:sz w:val="28"/>
          <w:szCs w:val="28"/>
        </w:rPr>
        <w:t>10 Микрорайон</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53A15">
      <w:pPr>
        <w:ind w:left="284" w:right="-1" w:hanging="284"/>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00153A15">
        <w:rPr>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917916">
        <w:trPr>
          <w:trHeight w:val="1491"/>
        </w:trPr>
        <w:tc>
          <w:tcPr>
            <w:tcW w:w="840" w:type="dxa"/>
          </w:tcPr>
          <w:p w:rsidR="001806BE" w:rsidRPr="00122A3A" w:rsidRDefault="00153A15" w:rsidP="00917916">
            <w:pPr>
              <w:ind w:left="-274" w:firstLine="121"/>
            </w:pPr>
            <w:r>
              <w:t xml:space="preserve">  </w:t>
            </w:r>
            <w:r w:rsidR="001806BE" w:rsidRPr="00122A3A">
              <w:t>1</w:t>
            </w:r>
          </w:p>
        </w:tc>
        <w:tc>
          <w:tcPr>
            <w:tcW w:w="4020" w:type="dxa"/>
          </w:tcPr>
          <w:p w:rsidR="001806BE" w:rsidRPr="00122A3A" w:rsidRDefault="001806BE" w:rsidP="00917916">
            <w:r w:rsidRPr="00122A3A">
              <w:t>Уполномоченный орган на проведения аукциона</w:t>
            </w:r>
          </w:p>
        </w:tc>
        <w:tc>
          <w:tcPr>
            <w:tcW w:w="5205" w:type="dxa"/>
          </w:tcPr>
          <w:p w:rsidR="001806BE" w:rsidRPr="00E82771" w:rsidRDefault="001806BE" w:rsidP="00917916">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917916">
        <w:trPr>
          <w:trHeight w:val="1030"/>
        </w:trPr>
        <w:tc>
          <w:tcPr>
            <w:tcW w:w="840" w:type="dxa"/>
          </w:tcPr>
          <w:p w:rsidR="001806BE" w:rsidRPr="00122A3A" w:rsidRDefault="001806BE" w:rsidP="00917916">
            <w:r w:rsidRPr="00122A3A">
              <w:t>2</w:t>
            </w:r>
          </w:p>
        </w:tc>
        <w:tc>
          <w:tcPr>
            <w:tcW w:w="4020" w:type="dxa"/>
          </w:tcPr>
          <w:p w:rsidR="001806BE" w:rsidRPr="00122A3A" w:rsidRDefault="001806BE" w:rsidP="00917916">
            <w:r w:rsidRPr="00122A3A">
              <w:t>Решение о проведении о проведении аукциона</w:t>
            </w:r>
          </w:p>
        </w:tc>
        <w:tc>
          <w:tcPr>
            <w:tcW w:w="5205" w:type="dxa"/>
          </w:tcPr>
          <w:p w:rsidR="001806BE" w:rsidRPr="00122A3A" w:rsidRDefault="001806BE" w:rsidP="00A64C8E">
            <w:r w:rsidRPr="00A64C8E">
              <w:t>Приказ МКУ «</w:t>
            </w:r>
            <w:proofErr w:type="spellStart"/>
            <w:r w:rsidRPr="00A64C8E">
              <w:t>ДДТиЖКК</w:t>
            </w:r>
            <w:proofErr w:type="spellEnd"/>
            <w:r w:rsidRPr="00A64C8E">
              <w:t xml:space="preserve">» от </w:t>
            </w:r>
            <w:r w:rsidRPr="00A64C8E">
              <w:rPr>
                <w:color w:val="000000"/>
              </w:rPr>
              <w:t>«</w:t>
            </w:r>
            <w:r w:rsidR="00A64C8E" w:rsidRPr="00A64C8E">
              <w:rPr>
                <w:color w:val="000000"/>
              </w:rPr>
              <w:t>27</w:t>
            </w:r>
            <w:r w:rsidRPr="00A64C8E">
              <w:rPr>
                <w:color w:val="000000"/>
              </w:rPr>
              <w:t>»</w:t>
            </w:r>
            <w:r w:rsidR="00A64C8E" w:rsidRPr="00A64C8E">
              <w:rPr>
                <w:color w:val="000000"/>
              </w:rPr>
              <w:t xml:space="preserve"> июля </w:t>
            </w:r>
            <w:r w:rsidRPr="00A64C8E">
              <w:rPr>
                <w:color w:val="000000"/>
              </w:rPr>
              <w:t xml:space="preserve">2017г. </w:t>
            </w:r>
            <w:r w:rsidRPr="00A64C8E">
              <w:t>№</w:t>
            </w:r>
            <w:r w:rsidR="00A64C8E" w:rsidRPr="00A64C8E">
              <w:t>129-</w:t>
            </w:r>
            <w:r w:rsidR="00A64C8E">
              <w:t>д</w:t>
            </w:r>
          </w:p>
        </w:tc>
      </w:tr>
      <w:tr w:rsidR="001806BE" w:rsidRPr="00122A3A" w:rsidTr="00917916">
        <w:trPr>
          <w:trHeight w:val="1650"/>
        </w:trPr>
        <w:tc>
          <w:tcPr>
            <w:tcW w:w="840" w:type="dxa"/>
          </w:tcPr>
          <w:p w:rsidR="001806BE" w:rsidRPr="00122A3A" w:rsidRDefault="001806BE" w:rsidP="00917916">
            <w:r w:rsidRPr="00122A3A">
              <w:t>3</w:t>
            </w:r>
          </w:p>
        </w:tc>
        <w:tc>
          <w:tcPr>
            <w:tcW w:w="4020" w:type="dxa"/>
          </w:tcPr>
          <w:p w:rsidR="001806BE" w:rsidRPr="00122A3A" w:rsidRDefault="001806BE" w:rsidP="00917916">
            <w:r w:rsidRPr="00122A3A">
              <w:t>Место, дата, время и порядок проведения аукциона</w:t>
            </w:r>
          </w:p>
        </w:tc>
        <w:tc>
          <w:tcPr>
            <w:tcW w:w="5205" w:type="dxa"/>
          </w:tcPr>
          <w:p w:rsidR="001806BE" w:rsidRPr="00122A3A" w:rsidRDefault="001806BE" w:rsidP="00917916">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917916">
            <w:pPr>
              <w:jc w:val="both"/>
              <w:rPr>
                <w:color w:val="000000"/>
              </w:rPr>
            </w:pPr>
          </w:p>
          <w:p w:rsidR="001806BE" w:rsidRPr="00122A3A" w:rsidRDefault="001806BE" w:rsidP="00917916">
            <w:pPr>
              <w:jc w:val="both"/>
              <w:rPr>
                <w:color w:val="000000"/>
              </w:rPr>
            </w:pPr>
            <w:r w:rsidRPr="00122A3A">
              <w:rPr>
                <w:color w:val="000000"/>
              </w:rPr>
              <w:t>«</w:t>
            </w:r>
            <w:r w:rsidR="002522AF">
              <w:rPr>
                <w:color w:val="000000"/>
              </w:rPr>
              <w:t>31</w:t>
            </w:r>
            <w:r w:rsidRPr="00122A3A">
              <w:rPr>
                <w:color w:val="000000"/>
              </w:rPr>
              <w:t>»</w:t>
            </w:r>
            <w:r w:rsidR="00F40B48">
              <w:rPr>
                <w:color w:val="000000"/>
              </w:rPr>
              <w:t xml:space="preserve"> августа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1</w:t>
            </w:r>
            <w:r w:rsidR="00DF1DC4">
              <w:rPr>
                <w:color w:val="000000"/>
              </w:rPr>
              <w:t>1</w:t>
            </w:r>
            <w:r w:rsidR="00F40B48">
              <w:rPr>
                <w:color w:val="000000"/>
              </w:rPr>
              <w:t xml:space="preserve"> </w:t>
            </w:r>
            <w:r w:rsidRPr="00122A3A">
              <w:rPr>
                <w:color w:val="000000"/>
              </w:rPr>
              <w:t>ч</w:t>
            </w:r>
            <w:r w:rsidR="00F40B48">
              <w:rPr>
                <w:color w:val="000000"/>
              </w:rPr>
              <w:t xml:space="preserve">  00 </w:t>
            </w:r>
            <w:r w:rsidRPr="00122A3A">
              <w:rPr>
                <w:color w:val="000000"/>
              </w:rPr>
              <w:t>мин</w:t>
            </w:r>
          </w:p>
          <w:p w:rsidR="001806BE" w:rsidRPr="00122A3A" w:rsidRDefault="001806BE" w:rsidP="00917916">
            <w:pPr>
              <w:jc w:val="both"/>
              <w:rPr>
                <w:color w:val="000000"/>
              </w:rPr>
            </w:pPr>
          </w:p>
          <w:p w:rsidR="001806BE" w:rsidRPr="00122A3A" w:rsidRDefault="001806BE" w:rsidP="00917916">
            <w:pPr>
              <w:jc w:val="both"/>
              <w:rPr>
                <w:color w:val="000000"/>
              </w:rPr>
            </w:pPr>
            <w:r w:rsidRPr="00122A3A">
              <w:rPr>
                <w:color w:val="000000"/>
              </w:rPr>
              <w:t>открытый аукцион</w:t>
            </w:r>
          </w:p>
          <w:p w:rsidR="001806BE" w:rsidRPr="00122A3A" w:rsidRDefault="001806BE" w:rsidP="00917916">
            <w:pPr>
              <w:jc w:val="both"/>
              <w:rPr>
                <w:color w:val="000000"/>
              </w:rPr>
            </w:pPr>
          </w:p>
          <w:p w:rsidR="001806BE" w:rsidRPr="00122A3A" w:rsidRDefault="001806BE" w:rsidP="00917916"/>
        </w:tc>
      </w:tr>
      <w:tr w:rsidR="001806BE" w:rsidRPr="00122A3A" w:rsidTr="00917916">
        <w:trPr>
          <w:trHeight w:val="1515"/>
        </w:trPr>
        <w:tc>
          <w:tcPr>
            <w:tcW w:w="840" w:type="dxa"/>
          </w:tcPr>
          <w:p w:rsidR="001806BE" w:rsidRPr="00122A3A" w:rsidRDefault="001806BE" w:rsidP="00917916">
            <w:r w:rsidRPr="00122A3A">
              <w:t>4</w:t>
            </w:r>
          </w:p>
        </w:tc>
        <w:tc>
          <w:tcPr>
            <w:tcW w:w="4020" w:type="dxa"/>
          </w:tcPr>
          <w:p w:rsidR="001806BE" w:rsidRPr="00122A3A" w:rsidRDefault="001806BE" w:rsidP="00917916">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917916"/>
        </w:tc>
        <w:tc>
          <w:tcPr>
            <w:tcW w:w="5205" w:type="dxa"/>
          </w:tcPr>
          <w:p w:rsidR="001806BE" w:rsidRDefault="001806BE" w:rsidP="00917916">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917916">
            <w:bookmarkStart w:id="0" w:name="_GoBack"/>
            <w:bookmarkEnd w:id="0"/>
          </w:p>
          <w:p w:rsidR="001806BE" w:rsidRPr="00122A3A" w:rsidRDefault="001806BE" w:rsidP="00917916">
            <w:r w:rsidRPr="00122A3A">
              <w:t xml:space="preserve">- место размещения: </w:t>
            </w:r>
            <w:r w:rsidR="00F40B48" w:rsidRPr="00F40B48">
              <w:t>Тюменская область, Ханты-Мансийский автономный округ – Югра, город Сургут, микрорайон 10, улица Гагарина</w:t>
            </w:r>
            <w:r w:rsidR="00F40B48">
              <w:t xml:space="preserve">, </w:t>
            </w:r>
            <w:r w:rsidR="00F40B48" w:rsidRPr="00F40B48">
              <w:t>остановка общественного транспорта «</w:t>
            </w:r>
            <w:r w:rsidR="00DF1DC4" w:rsidRPr="00DF1DC4">
              <w:t>10 Микрорайон</w:t>
            </w:r>
            <w:r w:rsidR="00F40B48" w:rsidRPr="00F40B48">
              <w:t>»</w:t>
            </w:r>
            <w:r w:rsidRPr="00122A3A">
              <w:t>;</w:t>
            </w:r>
          </w:p>
          <w:p w:rsidR="001806BE" w:rsidRPr="00122A3A" w:rsidRDefault="001806BE" w:rsidP="00917916"/>
          <w:p w:rsidR="001806BE" w:rsidRPr="00122A3A" w:rsidRDefault="001806BE" w:rsidP="00917916">
            <w:r w:rsidRPr="00122A3A">
              <w:t xml:space="preserve">- площадь объекта: </w:t>
            </w:r>
            <w:r w:rsidR="00F40B48">
              <w:t xml:space="preserve">60 (шестьдесят) </w:t>
            </w:r>
            <w:proofErr w:type="spellStart"/>
            <w:r w:rsidR="00F40B48">
              <w:t>кв.м</w:t>
            </w:r>
            <w:proofErr w:type="spellEnd"/>
            <w:r w:rsidRPr="00122A3A">
              <w:t>;</w:t>
            </w:r>
          </w:p>
          <w:p w:rsidR="001806BE" w:rsidRPr="00122A3A" w:rsidRDefault="001806BE" w:rsidP="00917916"/>
          <w:p w:rsidR="001806BE" w:rsidRPr="00122A3A" w:rsidRDefault="001806BE" w:rsidP="00917916">
            <w:r w:rsidRPr="00122A3A">
              <w:t>- тип, специализация объекта:</w:t>
            </w:r>
            <w:r w:rsidR="00F40B48">
              <w:t xml:space="preserve"> торговая</w:t>
            </w:r>
            <w:r w:rsidRPr="00122A3A">
              <w:t>;</w:t>
            </w:r>
          </w:p>
          <w:p w:rsidR="001806BE" w:rsidRPr="00122A3A" w:rsidRDefault="001806BE" w:rsidP="00917916"/>
          <w:p w:rsidR="001806BE" w:rsidRPr="00122A3A" w:rsidRDefault="001806BE" w:rsidP="00917916">
            <w:pPr>
              <w:tabs>
                <w:tab w:val="left" w:pos="567"/>
                <w:tab w:val="left" w:pos="709"/>
                <w:tab w:val="left" w:pos="851"/>
              </w:tabs>
              <w:jc w:val="both"/>
              <w:rPr>
                <w:color w:val="000000"/>
              </w:rPr>
            </w:pPr>
            <w:r w:rsidRPr="00122A3A">
              <w:rPr>
                <w:color w:val="000000"/>
              </w:rPr>
              <w:t>- общая площадь должна составлять не более 80-и кв. метров для павильонов;</w:t>
            </w:r>
          </w:p>
          <w:p w:rsidR="001806BE" w:rsidRPr="00122A3A" w:rsidRDefault="001806BE" w:rsidP="00917916">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917916">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917916">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917916">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917916"/>
        </w:tc>
      </w:tr>
      <w:tr w:rsidR="001806BE" w:rsidRPr="00122A3A" w:rsidTr="00917916">
        <w:trPr>
          <w:trHeight w:val="1545"/>
        </w:trPr>
        <w:tc>
          <w:tcPr>
            <w:tcW w:w="840" w:type="dxa"/>
          </w:tcPr>
          <w:p w:rsidR="001806BE" w:rsidRPr="00122A3A" w:rsidRDefault="001806BE" w:rsidP="00917916">
            <w:r w:rsidRPr="00122A3A">
              <w:lastRenderedPageBreak/>
              <w:t>5</w:t>
            </w:r>
          </w:p>
        </w:tc>
        <w:tc>
          <w:tcPr>
            <w:tcW w:w="4020" w:type="dxa"/>
          </w:tcPr>
          <w:p w:rsidR="001806BE" w:rsidRPr="00122A3A" w:rsidRDefault="001806BE" w:rsidP="00917916">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917916">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917916">
        <w:trPr>
          <w:trHeight w:val="619"/>
        </w:trPr>
        <w:tc>
          <w:tcPr>
            <w:tcW w:w="840" w:type="dxa"/>
          </w:tcPr>
          <w:p w:rsidR="001806BE" w:rsidRPr="00122A3A" w:rsidRDefault="001806BE" w:rsidP="00917916">
            <w:r w:rsidRPr="00122A3A">
              <w:t>6</w:t>
            </w:r>
          </w:p>
        </w:tc>
        <w:tc>
          <w:tcPr>
            <w:tcW w:w="4020" w:type="dxa"/>
          </w:tcPr>
          <w:p w:rsidR="001806BE" w:rsidRPr="00122A3A" w:rsidRDefault="001806BE" w:rsidP="00917916">
            <w:r w:rsidRPr="00122A3A">
              <w:t>О сроке действия договора</w:t>
            </w:r>
          </w:p>
        </w:tc>
        <w:tc>
          <w:tcPr>
            <w:tcW w:w="5205" w:type="dxa"/>
          </w:tcPr>
          <w:p w:rsidR="001806BE" w:rsidRPr="00122A3A" w:rsidRDefault="001806BE" w:rsidP="00917916">
            <w:r>
              <w:t>5 (пять) лет</w:t>
            </w:r>
          </w:p>
        </w:tc>
      </w:tr>
      <w:tr w:rsidR="001806BE" w:rsidRPr="00122A3A" w:rsidTr="00917916">
        <w:trPr>
          <w:trHeight w:val="1545"/>
        </w:trPr>
        <w:tc>
          <w:tcPr>
            <w:tcW w:w="840" w:type="dxa"/>
          </w:tcPr>
          <w:p w:rsidR="001806BE" w:rsidRPr="00122A3A" w:rsidRDefault="001806BE" w:rsidP="00917916">
            <w:r w:rsidRPr="00122A3A">
              <w:t>7</w:t>
            </w:r>
          </w:p>
        </w:tc>
        <w:tc>
          <w:tcPr>
            <w:tcW w:w="4020" w:type="dxa"/>
          </w:tcPr>
          <w:p w:rsidR="001806BE" w:rsidRPr="00122A3A" w:rsidRDefault="001806BE" w:rsidP="00917916">
            <w:r w:rsidRPr="00122A3A">
              <w:rPr>
                <w:color w:val="000000"/>
              </w:rPr>
              <w:t>О начальной цене предмета аукциона</w:t>
            </w:r>
          </w:p>
        </w:tc>
        <w:tc>
          <w:tcPr>
            <w:tcW w:w="5205" w:type="dxa"/>
          </w:tcPr>
          <w:p w:rsidR="001806BE" w:rsidRPr="00122A3A" w:rsidRDefault="0086552C" w:rsidP="00917916">
            <w:r>
              <w:t>45 552 (сорок пять тысяч пятьсот пятьдесят два) рубля 00 копеек</w:t>
            </w:r>
          </w:p>
        </w:tc>
      </w:tr>
      <w:tr w:rsidR="001806BE" w:rsidRPr="00122A3A" w:rsidTr="00917916">
        <w:trPr>
          <w:trHeight w:val="1785"/>
        </w:trPr>
        <w:tc>
          <w:tcPr>
            <w:tcW w:w="840" w:type="dxa"/>
          </w:tcPr>
          <w:p w:rsidR="001806BE" w:rsidRPr="00122A3A" w:rsidRDefault="001806BE" w:rsidP="00917916">
            <w:r w:rsidRPr="00122A3A">
              <w:t>8</w:t>
            </w:r>
          </w:p>
        </w:tc>
        <w:tc>
          <w:tcPr>
            <w:tcW w:w="4020" w:type="dxa"/>
          </w:tcPr>
          <w:p w:rsidR="001806BE" w:rsidRPr="00122A3A" w:rsidRDefault="001806BE" w:rsidP="00917916">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917916"/>
        </w:tc>
      </w:tr>
      <w:tr w:rsidR="001806BE" w:rsidRPr="00122A3A" w:rsidTr="00917916">
        <w:trPr>
          <w:trHeight w:val="870"/>
        </w:trPr>
        <w:tc>
          <w:tcPr>
            <w:tcW w:w="840" w:type="dxa"/>
          </w:tcPr>
          <w:p w:rsidR="001806BE" w:rsidRPr="00122A3A" w:rsidRDefault="001806BE" w:rsidP="00917916">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917916"/>
        </w:tc>
        <w:tc>
          <w:tcPr>
            <w:tcW w:w="5205" w:type="dxa"/>
          </w:tcPr>
          <w:p w:rsidR="001806BE" w:rsidRPr="00122A3A" w:rsidRDefault="001806BE" w:rsidP="00917916">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917916">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917916">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917916">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917916">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917916">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917916">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917916">
            <w:pPr>
              <w:autoSpaceDE w:val="0"/>
              <w:autoSpaceDN w:val="0"/>
              <w:adjustRightInd w:val="0"/>
              <w:ind w:firstLine="567"/>
              <w:jc w:val="both"/>
              <w:rPr>
                <w:color w:val="000000"/>
              </w:rPr>
            </w:pPr>
            <w:r w:rsidRPr="00122A3A">
              <w:rPr>
                <w:color w:val="000000"/>
              </w:rPr>
              <w:t xml:space="preserve">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w:t>
            </w:r>
            <w:r w:rsidRPr="00122A3A">
              <w:rPr>
                <w:color w:val="000000"/>
              </w:rPr>
              <w:lastRenderedPageBreak/>
              <w:t>действует лицо, имеющее право действовать без доверенности, предоставление указанного документа не требуется).</w:t>
            </w:r>
          </w:p>
          <w:p w:rsidR="001806BE" w:rsidRPr="00122A3A" w:rsidRDefault="001806BE" w:rsidP="00917916"/>
        </w:tc>
      </w:tr>
      <w:tr w:rsidR="001806BE" w:rsidRPr="00122A3A" w:rsidTr="00917916">
        <w:trPr>
          <w:trHeight w:val="1365"/>
        </w:trPr>
        <w:tc>
          <w:tcPr>
            <w:tcW w:w="840" w:type="dxa"/>
          </w:tcPr>
          <w:p w:rsidR="001806BE" w:rsidRPr="00122A3A" w:rsidRDefault="001806BE" w:rsidP="00917916">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917916"/>
        </w:tc>
        <w:tc>
          <w:tcPr>
            <w:tcW w:w="5205" w:type="dxa"/>
          </w:tcPr>
          <w:p w:rsidR="001806BE" w:rsidRPr="00122A3A" w:rsidRDefault="001806BE" w:rsidP="00917916">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917916"/>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Внешние</w:t>
            </w:r>
          </w:p>
          <w:p w:rsidR="00BA56EB" w:rsidRPr="00BA56EB" w:rsidRDefault="00BA56EB" w:rsidP="00CD7F90">
            <w:r w:rsidRPr="00BA56EB">
              <w:t>конструктивные</w:t>
            </w:r>
          </w:p>
          <w:p w:rsidR="00BA56EB" w:rsidRPr="00BA56EB" w:rsidRDefault="00BA56EB" w:rsidP="00CD7F90">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Материал</w:t>
            </w:r>
          </w:p>
          <w:p w:rsidR="00BA56EB" w:rsidRPr="00BA56EB" w:rsidRDefault="00BA56EB" w:rsidP="00CD7F90">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Цветовое</w:t>
            </w:r>
          </w:p>
          <w:p w:rsidR="00BA56EB" w:rsidRPr="00BA56EB" w:rsidRDefault="00BA56EB" w:rsidP="00CD7F90">
            <w:r w:rsidRPr="00BA56EB">
              <w:t>оформление</w:t>
            </w:r>
          </w:p>
          <w:p w:rsidR="00BA56EB" w:rsidRPr="00BA56EB" w:rsidRDefault="00BA56EB" w:rsidP="00CD7F90">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каркасная конструктивная</w:t>
            </w:r>
          </w:p>
          <w:p w:rsidR="00BA56EB" w:rsidRPr="00BA56EB" w:rsidRDefault="00BA56EB" w:rsidP="00CD7F90">
            <w:r w:rsidRPr="00BA56EB">
              <w:t>система, стальной</w:t>
            </w:r>
          </w:p>
          <w:p w:rsidR="00BA56EB" w:rsidRPr="00BA56EB" w:rsidRDefault="00BA56EB" w:rsidP="00CD7F90">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Верхняя панель</w:t>
            </w:r>
          </w:p>
          <w:p w:rsidR="00BA56EB" w:rsidRPr="00BA56EB" w:rsidRDefault="00BA56EB" w:rsidP="00CD7F90">
            <w:r w:rsidRPr="00BA56EB">
              <w:t>для размещения</w:t>
            </w:r>
          </w:p>
          <w:p w:rsidR="00BA56EB" w:rsidRPr="00BA56EB" w:rsidRDefault="00BA56EB" w:rsidP="00CD7F90">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CD7F90"/>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трехслойные сэндвич-</w:t>
            </w:r>
          </w:p>
          <w:p w:rsidR="00BA56EB" w:rsidRPr="00BA56EB" w:rsidRDefault="00BA56EB" w:rsidP="00CD7F90">
            <w:r w:rsidRPr="00BA56EB">
              <w:t>панели, алюминиевые композитные панели</w:t>
            </w:r>
          </w:p>
          <w:p w:rsidR="00BA56EB" w:rsidRPr="00BA56EB" w:rsidRDefault="00BA56EB" w:rsidP="00CD7F90">
            <w:r w:rsidRPr="00BA56EB">
              <w:t>поэлементной сборки,</w:t>
            </w:r>
          </w:p>
          <w:p w:rsidR="00BA56EB" w:rsidRPr="00BA56EB" w:rsidRDefault="00BA56EB" w:rsidP="00CD7F90">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не допускается</w:t>
            </w:r>
          </w:p>
          <w:p w:rsidR="00BA56EB" w:rsidRPr="00BA56EB" w:rsidRDefault="00BA56EB" w:rsidP="00CD7F90">
            <w:r w:rsidRPr="00BA56EB">
              <w:t>применение</w:t>
            </w:r>
          </w:p>
          <w:p w:rsidR="00BA56EB" w:rsidRPr="00BA56EB" w:rsidRDefault="00BA56EB" w:rsidP="00CD7F90">
            <w:r w:rsidRPr="00BA56EB">
              <w:t>кирпича,</w:t>
            </w:r>
          </w:p>
          <w:p w:rsidR="00BA56EB" w:rsidRPr="00BA56EB" w:rsidRDefault="00BA56EB" w:rsidP="00CD7F90">
            <w:r w:rsidRPr="00BA56EB">
              <w:t>строительных</w:t>
            </w:r>
          </w:p>
          <w:p w:rsidR="00BA56EB" w:rsidRPr="00BA56EB" w:rsidRDefault="00BA56EB" w:rsidP="00CD7F90">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стекло витринное</w:t>
            </w:r>
          </w:p>
          <w:p w:rsidR="00BA56EB" w:rsidRPr="00BA56EB" w:rsidRDefault="00BA56EB" w:rsidP="00CD7F90">
            <w:r w:rsidRPr="00BA56EB">
              <w:t>ударостойкое</w:t>
            </w:r>
          </w:p>
          <w:p w:rsidR="00BA56EB" w:rsidRPr="00BA56EB" w:rsidRDefault="00BA56EB" w:rsidP="00CD7F90">
            <w:r w:rsidRPr="00BA56EB">
              <w:t>безосколочное</w:t>
            </w:r>
          </w:p>
          <w:p w:rsidR="00BA56EB" w:rsidRPr="00BA56EB" w:rsidRDefault="00BA56EB" w:rsidP="00CD7F90">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глухая</w:t>
            </w:r>
          </w:p>
          <w:p w:rsidR="00BA56EB" w:rsidRPr="00BA56EB" w:rsidRDefault="00BA56EB" w:rsidP="00CD7F90">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proofErr w:type="spellStart"/>
            <w:r w:rsidRPr="00BA56EB">
              <w:t>профнастил</w:t>
            </w:r>
            <w:proofErr w:type="spellEnd"/>
            <w:r w:rsidRPr="00BA56EB">
              <w:t xml:space="preserve"> оцинкованный, плоская</w:t>
            </w:r>
          </w:p>
          <w:p w:rsidR="00BA56EB" w:rsidRPr="00BA56EB" w:rsidRDefault="00BA56EB" w:rsidP="00CD7F90">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 панели, алюминиевые композитные</w:t>
            </w:r>
          </w:p>
          <w:p w:rsidR="00BA56EB" w:rsidRPr="00BA56EB" w:rsidRDefault="00BA56EB" w:rsidP="00CD7F90">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размещается</w:t>
            </w:r>
          </w:p>
          <w:p w:rsidR="00BA56EB" w:rsidRPr="00BA56EB" w:rsidRDefault="00BA56EB" w:rsidP="00CD7F90">
            <w:r w:rsidRPr="00BA56EB">
              <w:t>на рекламном</w:t>
            </w:r>
          </w:p>
          <w:p w:rsidR="00BA56EB" w:rsidRPr="00BA56EB" w:rsidRDefault="00BA56EB" w:rsidP="00CD7F90">
            <w:r w:rsidRPr="00BA56EB">
              <w:t>парапете</w:t>
            </w:r>
          </w:p>
        </w:tc>
      </w:tr>
    </w:tbl>
    <w:p w:rsidR="001806BE" w:rsidRPr="003F5559" w:rsidRDefault="001806BE" w:rsidP="00CD7F90">
      <w:pPr>
        <w:rPr>
          <w:rFonts w:eastAsia="Calibri"/>
          <w:color w:val="000000"/>
        </w:rPr>
      </w:pPr>
    </w:p>
    <w:p w:rsidR="001806BE" w:rsidRPr="003F5559" w:rsidRDefault="001806BE" w:rsidP="00CD7F90">
      <w:pPr>
        <w:rPr>
          <w:rFonts w:eastAsia="Calibri"/>
          <w:color w:val="000000"/>
        </w:rPr>
      </w:pPr>
      <w:r w:rsidRPr="003F5559">
        <w:rPr>
          <w:rFonts w:eastAsia="Calibri"/>
          <w:color w:val="000000"/>
        </w:rPr>
        <w:t>Примечания:</w:t>
      </w:r>
    </w:p>
    <w:p w:rsidR="00BA56EB" w:rsidRDefault="00BA56EB" w:rsidP="00CD7F90">
      <w:r>
        <w:t>1. Зона ожидания должна составлять не менее 1/3 павильона.</w:t>
      </w:r>
    </w:p>
    <w:p w:rsidR="00BA56EB" w:rsidRDefault="00BA56EB" w:rsidP="00CD7F90">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70" w:type="dxa"/>
        <w:jc w:val="right"/>
        <w:tblLayout w:type="fixed"/>
        <w:tblLook w:val="04A0" w:firstRow="1" w:lastRow="0" w:firstColumn="1" w:lastColumn="0" w:noHBand="0" w:noVBand="1"/>
      </w:tblPr>
      <w:tblGrid>
        <w:gridCol w:w="3870"/>
      </w:tblGrid>
      <w:tr w:rsidR="00E82771" w:rsidTr="00CD7F90">
        <w:trPr>
          <w:trHeight w:val="1918"/>
          <w:jc w:val="right"/>
        </w:trPr>
        <w:tc>
          <w:tcPr>
            <w:tcW w:w="3870" w:type="dxa"/>
          </w:tcPr>
          <w:p w:rsidR="00CD7F90" w:rsidRDefault="00CD7F90" w:rsidP="00CD7F90">
            <w:pPr>
              <w:rPr>
                <w:bCs/>
              </w:rPr>
            </w:pPr>
            <w:r>
              <w:rPr>
                <w:bCs/>
              </w:rPr>
              <w:lastRenderedPageBreak/>
              <w:t>УТВЕРЖДАЮ</w:t>
            </w:r>
          </w:p>
          <w:p w:rsidR="00CD7F90" w:rsidRDefault="00CD7F90" w:rsidP="00CD7F90">
            <w:pPr>
              <w:rPr>
                <w:bCs/>
              </w:rPr>
            </w:pPr>
            <w:r>
              <w:rPr>
                <w:bCs/>
              </w:rPr>
              <w:t>Директор МКУ «</w:t>
            </w:r>
            <w:proofErr w:type="spellStart"/>
            <w:r>
              <w:rPr>
                <w:bCs/>
              </w:rPr>
              <w:t>ДДТиЖКК</w:t>
            </w:r>
            <w:proofErr w:type="spellEnd"/>
            <w:r>
              <w:rPr>
                <w:bCs/>
              </w:rPr>
              <w:t>»</w:t>
            </w:r>
          </w:p>
          <w:p w:rsidR="00CD7F90" w:rsidRDefault="00CD7F90" w:rsidP="00CD7F90">
            <w:pPr>
              <w:rPr>
                <w:bCs/>
              </w:rPr>
            </w:pPr>
            <w:proofErr w:type="spellStart"/>
            <w:r>
              <w:rPr>
                <w:bCs/>
              </w:rPr>
              <w:t>Вырвикишко</w:t>
            </w:r>
            <w:proofErr w:type="spellEnd"/>
            <w:r>
              <w:rPr>
                <w:bCs/>
              </w:rPr>
              <w:t xml:space="preserve"> В.Я.</w:t>
            </w:r>
          </w:p>
          <w:p w:rsidR="00CD7F90" w:rsidRDefault="00CD7F90" w:rsidP="00CD7F90">
            <w:pPr>
              <w:pBdr>
                <w:bottom w:val="single" w:sz="12" w:space="1" w:color="auto"/>
              </w:pBdr>
              <w:rPr>
                <w:bCs/>
              </w:rPr>
            </w:pPr>
          </w:p>
          <w:p w:rsidR="00D3118E" w:rsidRDefault="00CD7F90" w:rsidP="00CD7F90">
            <w:r>
              <w:rPr>
                <w:bCs/>
              </w:rPr>
              <w:t xml:space="preserve">МП            </w:t>
            </w:r>
            <w:proofErr w:type="gramStart"/>
            <w:r>
              <w:rPr>
                <w:bCs/>
              </w:rPr>
              <w:t xml:space="preserve">   (</w:t>
            </w:r>
            <w:proofErr w:type="gramEnd"/>
            <w:r>
              <w:rPr>
                <w:bCs/>
              </w:rPr>
              <w:t xml:space="preserve">подпись)                       </w:t>
            </w:r>
            <w:r w:rsidR="00E82771">
              <w:rPr>
                <w:bCs/>
              </w:rPr>
              <w:t xml:space="preserve">                                                                   </w:t>
            </w:r>
          </w:p>
          <w:p w:rsidR="00E82771" w:rsidRDefault="00E82771" w:rsidP="00CD7F90"/>
        </w:tc>
      </w:tr>
    </w:tbl>
    <w:p w:rsidR="00E82771" w:rsidRDefault="00E82771" w:rsidP="00CD7F90">
      <w:pPr>
        <w:rPr>
          <w:b/>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60 кв. метров, назначение: торговое, расположенного по адресу: </w:t>
      </w:r>
      <w:r w:rsidR="005435FE" w:rsidRPr="005435FE">
        <w:rPr>
          <w:b/>
          <w:spacing w:val="-4"/>
          <w:sz w:val="28"/>
          <w:szCs w:val="28"/>
        </w:rPr>
        <w:t>Тюменская область, Ханты-Мансийский автономный</w:t>
      </w:r>
      <w:r w:rsidR="005435FE" w:rsidRPr="005435FE">
        <w:rPr>
          <w:b/>
          <w:sz w:val="28"/>
          <w:szCs w:val="28"/>
        </w:rPr>
        <w:t xml:space="preserve"> округ – Югра, город Сургут, микрорайон 10, улица </w:t>
      </w:r>
      <w:proofErr w:type="gramStart"/>
      <w:r w:rsidR="005435FE" w:rsidRPr="005435FE">
        <w:rPr>
          <w:b/>
          <w:sz w:val="28"/>
          <w:szCs w:val="28"/>
        </w:rPr>
        <w:t>Гагарина,  остановка</w:t>
      </w:r>
      <w:proofErr w:type="gramEnd"/>
      <w:r w:rsidR="005435FE" w:rsidRPr="005435FE">
        <w:rPr>
          <w:b/>
          <w:sz w:val="28"/>
          <w:szCs w:val="28"/>
        </w:rPr>
        <w:t xml:space="preserve"> общественного транспорта </w:t>
      </w:r>
      <w:r w:rsidR="00B80E5B" w:rsidRPr="00B80E5B">
        <w:rPr>
          <w:b/>
          <w:sz w:val="28"/>
          <w:szCs w:val="28"/>
        </w:rPr>
        <w:t>«10 Микрорайон»</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5435FE" w:rsidRPr="005435FE">
        <w:rPr>
          <w:sz w:val="28"/>
          <w:szCs w:val="28"/>
        </w:rPr>
        <w:t xml:space="preserve">Тюменская область, Ханты-Мансийский автономный округ – Югра, город Сургут, микрорайон 10, улица </w:t>
      </w:r>
      <w:proofErr w:type="gramStart"/>
      <w:r w:rsidR="005435FE" w:rsidRPr="005435FE">
        <w:rPr>
          <w:sz w:val="28"/>
          <w:szCs w:val="28"/>
        </w:rPr>
        <w:t>Гагарина,  остановка</w:t>
      </w:r>
      <w:proofErr w:type="gramEnd"/>
      <w:r w:rsidR="005435FE" w:rsidRPr="005435FE">
        <w:rPr>
          <w:sz w:val="28"/>
          <w:szCs w:val="28"/>
        </w:rPr>
        <w:t xml:space="preserve"> общественного транспорта </w:t>
      </w:r>
      <w:r w:rsidR="00B80E5B" w:rsidRPr="00B80E5B">
        <w:rPr>
          <w:sz w:val="28"/>
          <w:szCs w:val="28"/>
        </w:rPr>
        <w:t>«10 Микрорайон»</w:t>
      </w:r>
      <w:r w:rsidRPr="001547CE">
        <w:rPr>
          <w:sz w:val="28"/>
          <w:szCs w:val="28"/>
        </w:rPr>
        <w:t>;</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5435FE" w:rsidRPr="005435FE">
        <w:rPr>
          <w:sz w:val="28"/>
          <w:szCs w:val="28"/>
        </w:rPr>
        <w:t>60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2"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r w:rsidR="005435FE">
        <w:rPr>
          <w:sz w:val="28"/>
          <w:szCs w:val="28"/>
        </w:rPr>
        <w:t xml:space="preserve">45 </w:t>
      </w:r>
      <w:proofErr w:type="gramStart"/>
      <w:r w:rsidR="005435FE">
        <w:rPr>
          <w:sz w:val="28"/>
          <w:szCs w:val="28"/>
        </w:rPr>
        <w:t xml:space="preserve">552 </w:t>
      </w:r>
      <w:r w:rsidRPr="002633E0">
        <w:rPr>
          <w:sz w:val="28"/>
          <w:szCs w:val="28"/>
        </w:rPr>
        <w:t xml:space="preserve"> (</w:t>
      </w:r>
      <w:proofErr w:type="gramEnd"/>
      <w:r w:rsidR="005435FE">
        <w:rPr>
          <w:sz w:val="28"/>
          <w:szCs w:val="28"/>
        </w:rPr>
        <w:t>сорок пять тысяч пятьсот пятьдесят два) рубля 00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5435FE">
        <w:rPr>
          <w:sz w:val="28"/>
          <w:szCs w:val="28"/>
        </w:rPr>
        <w:t>4555</w:t>
      </w:r>
      <w:r w:rsidRPr="002633E0">
        <w:rPr>
          <w:sz w:val="28"/>
          <w:szCs w:val="28"/>
        </w:rPr>
        <w:t xml:space="preserve"> (</w:t>
      </w:r>
      <w:r w:rsidR="005435FE">
        <w:rPr>
          <w:sz w:val="28"/>
          <w:szCs w:val="28"/>
        </w:rPr>
        <w:t>четыре тысячи пятьсот пятьдесят пять</w:t>
      </w:r>
      <w:r w:rsidRPr="002633E0">
        <w:rPr>
          <w:sz w:val="28"/>
          <w:szCs w:val="28"/>
        </w:rPr>
        <w:t>)</w:t>
      </w:r>
      <w:r w:rsidR="005435FE">
        <w:rPr>
          <w:sz w:val="28"/>
          <w:szCs w:val="28"/>
        </w:rPr>
        <w:t xml:space="preserve"> рублей 20 копеек</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2522AF">
        <w:rPr>
          <w:color w:val="000000"/>
          <w:sz w:val="28"/>
          <w:szCs w:val="28"/>
        </w:rPr>
        <w:t>31</w:t>
      </w:r>
      <w:r w:rsidRPr="002633E0">
        <w:rPr>
          <w:color w:val="000000"/>
          <w:sz w:val="28"/>
          <w:szCs w:val="28"/>
        </w:rPr>
        <w:t>»</w:t>
      </w:r>
      <w:r w:rsidR="005435FE">
        <w:rPr>
          <w:color w:val="000000"/>
          <w:sz w:val="28"/>
          <w:szCs w:val="28"/>
        </w:rPr>
        <w:t xml:space="preserve"> августа 2018</w:t>
      </w:r>
      <w:r w:rsidRPr="002633E0">
        <w:rPr>
          <w:color w:val="000000"/>
          <w:sz w:val="28"/>
          <w:szCs w:val="28"/>
        </w:rPr>
        <w:t xml:space="preserve"> г. в </w:t>
      </w:r>
      <w:r w:rsidR="00B80E5B">
        <w:rPr>
          <w:color w:val="000000"/>
          <w:sz w:val="28"/>
          <w:szCs w:val="28"/>
        </w:rPr>
        <w:t>11</w:t>
      </w:r>
      <w:r w:rsidR="005435FE">
        <w:rPr>
          <w:color w:val="000000"/>
          <w:sz w:val="28"/>
          <w:szCs w:val="28"/>
        </w:rPr>
        <w:t xml:space="preserve">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3"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945055" w:rsidRDefault="00945055" w:rsidP="001806BE">
      <w:pPr>
        <w:ind w:right="-1"/>
        <w:rPr>
          <w:b/>
          <w:bCs/>
          <w:sz w:val="26"/>
          <w:szCs w:val="26"/>
        </w:rPr>
      </w:pPr>
    </w:p>
    <w:p w:rsidR="00945055" w:rsidRDefault="00945055" w:rsidP="001806BE">
      <w:pPr>
        <w:ind w:right="-1"/>
        <w:rPr>
          <w:b/>
          <w:bCs/>
          <w:sz w:val="26"/>
          <w:szCs w:val="26"/>
        </w:rPr>
      </w:pPr>
    </w:p>
    <w:p w:rsidR="00E82771" w:rsidRDefault="00E82771" w:rsidP="001806BE">
      <w:pPr>
        <w:ind w:right="-1"/>
        <w:rPr>
          <w:b/>
          <w:bCs/>
          <w:sz w:val="26"/>
          <w:szCs w:val="26"/>
        </w:rPr>
      </w:pPr>
    </w:p>
    <w:p w:rsidR="00E82771" w:rsidRDefault="00E82771" w:rsidP="001806BE">
      <w:pPr>
        <w:ind w:right="-1"/>
        <w:rPr>
          <w:b/>
          <w:bCs/>
          <w:sz w:val="26"/>
          <w:szCs w:val="26"/>
        </w:rPr>
      </w:pPr>
    </w:p>
    <w:p w:rsidR="009A3304" w:rsidRDefault="009A3304" w:rsidP="001806BE">
      <w:pPr>
        <w:ind w:right="-1"/>
        <w:rPr>
          <w:b/>
          <w:bCs/>
          <w:sz w:val="26"/>
          <w:szCs w:val="26"/>
        </w:rPr>
      </w:pPr>
    </w:p>
    <w:p w:rsidR="009A3304" w:rsidRDefault="009A3304" w:rsidP="001806BE">
      <w:pPr>
        <w:ind w:right="-1"/>
        <w:rPr>
          <w:b/>
          <w:bCs/>
          <w:sz w:val="26"/>
          <w:szCs w:val="26"/>
        </w:rPr>
      </w:pPr>
    </w:p>
    <w:p w:rsidR="001806BE" w:rsidRDefault="001806BE" w:rsidP="001806BE">
      <w:pPr>
        <w:ind w:right="-1"/>
        <w:rPr>
          <w:b/>
          <w:bCs/>
          <w:sz w:val="26"/>
          <w:szCs w:val="26"/>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917916">
        <w:trPr>
          <w:trHeight w:val="2279"/>
        </w:trPr>
        <w:tc>
          <w:tcPr>
            <w:tcW w:w="4671" w:type="dxa"/>
            <w:tcBorders>
              <w:top w:val="nil"/>
              <w:left w:val="nil"/>
              <w:bottom w:val="nil"/>
              <w:right w:val="nil"/>
            </w:tcBorders>
          </w:tcPr>
          <w:p w:rsidR="001806BE" w:rsidRPr="00C04EC3" w:rsidRDefault="001806BE" w:rsidP="00917916">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917916">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917916">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917916">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917916">
        <w:tc>
          <w:tcPr>
            <w:tcW w:w="2093" w:type="dxa"/>
          </w:tcPr>
          <w:p w:rsidR="001806BE" w:rsidRPr="00547A04" w:rsidRDefault="001806BE" w:rsidP="00917916">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1806BE" w:rsidP="00917916">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1806BE" w:rsidP="00917916">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1806BE" w:rsidP="00917916">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2522AF" w:rsidP="00917916">
            <w:pPr>
              <w:widowControl w:val="0"/>
              <w:autoSpaceDE w:val="0"/>
              <w:autoSpaceDN w:val="0"/>
              <w:adjustRightInd w:val="0"/>
              <w:jc w:val="both"/>
              <w:rPr>
                <w:color w:val="000000"/>
                <w:sz w:val="28"/>
                <w:szCs w:val="28"/>
              </w:rPr>
            </w:pPr>
            <w:hyperlink r:id="rId14" w:history="1">
              <w:r w:rsidR="001806BE" w:rsidRPr="00547A04">
                <w:rPr>
                  <w:color w:val="000000"/>
                  <w:sz w:val="28"/>
                  <w:szCs w:val="28"/>
                </w:rPr>
                <w:t>ОКТМО</w:t>
              </w:r>
            </w:hyperlink>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2522AF" w:rsidP="00917916">
            <w:pPr>
              <w:widowControl w:val="0"/>
              <w:autoSpaceDE w:val="0"/>
              <w:autoSpaceDN w:val="0"/>
              <w:adjustRightInd w:val="0"/>
              <w:jc w:val="both"/>
              <w:rPr>
                <w:color w:val="000000"/>
                <w:sz w:val="28"/>
                <w:szCs w:val="28"/>
              </w:rPr>
            </w:pPr>
            <w:hyperlink r:id="rId15" w:history="1">
              <w:r w:rsidR="001806BE" w:rsidRPr="00547A04">
                <w:rPr>
                  <w:color w:val="000000"/>
                  <w:sz w:val="28"/>
                  <w:szCs w:val="28"/>
                </w:rPr>
                <w:t>БИК</w:t>
              </w:r>
            </w:hyperlink>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917916">
        <w:tc>
          <w:tcPr>
            <w:tcW w:w="2093" w:type="dxa"/>
          </w:tcPr>
          <w:p w:rsidR="001806BE" w:rsidRPr="00547A04" w:rsidRDefault="002522AF" w:rsidP="00917916">
            <w:pPr>
              <w:widowControl w:val="0"/>
              <w:autoSpaceDE w:val="0"/>
              <w:autoSpaceDN w:val="0"/>
              <w:adjustRightInd w:val="0"/>
              <w:jc w:val="both"/>
              <w:rPr>
                <w:color w:val="000000"/>
                <w:sz w:val="28"/>
                <w:szCs w:val="28"/>
              </w:rPr>
            </w:pPr>
            <w:hyperlink r:id="rId16" w:history="1">
              <w:r w:rsidR="001806BE" w:rsidRPr="00547A04">
                <w:rPr>
                  <w:color w:val="000000"/>
                  <w:sz w:val="28"/>
                  <w:szCs w:val="28"/>
                </w:rPr>
                <w:t>КБК</w:t>
              </w:r>
            </w:hyperlink>
          </w:p>
        </w:tc>
        <w:tc>
          <w:tcPr>
            <w:tcW w:w="7722" w:type="dxa"/>
          </w:tcPr>
          <w:p w:rsidR="001806BE" w:rsidRPr="00547A04" w:rsidRDefault="001806BE" w:rsidP="00917916">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917916">
        <w:trPr>
          <w:trHeight w:val="409"/>
        </w:trPr>
        <w:tc>
          <w:tcPr>
            <w:tcW w:w="4740" w:type="dxa"/>
          </w:tcPr>
          <w:p w:rsidR="001806BE" w:rsidRPr="00547A04" w:rsidRDefault="001806BE" w:rsidP="00917916">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917916">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917916">
        <w:tc>
          <w:tcPr>
            <w:tcW w:w="4740" w:type="dxa"/>
          </w:tcPr>
          <w:p w:rsidR="001806BE" w:rsidRPr="00547A04" w:rsidRDefault="001806BE" w:rsidP="00917916">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917916">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917916">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917916">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917916">
        <w:tc>
          <w:tcPr>
            <w:tcW w:w="4740" w:type="dxa"/>
          </w:tcPr>
          <w:p w:rsidR="001806BE" w:rsidRPr="00547A04" w:rsidRDefault="001806BE" w:rsidP="00917916">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917916">
        <w:tc>
          <w:tcPr>
            <w:tcW w:w="4740" w:type="dxa"/>
          </w:tcPr>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917916">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917916">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917916">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917916">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917916">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917916">
            <w:pPr>
              <w:ind w:right="-1"/>
              <w:jc w:val="center"/>
              <w:rPr>
                <w:color w:val="000000"/>
                <w:sz w:val="28"/>
                <w:szCs w:val="28"/>
              </w:rPr>
            </w:pPr>
            <w:r w:rsidRPr="00547A04">
              <w:rPr>
                <w:color w:val="000000"/>
                <w:sz w:val="28"/>
                <w:szCs w:val="28"/>
              </w:rPr>
              <w:t>календарных дней</w:t>
            </w:r>
          </w:p>
          <w:p w:rsidR="001806BE" w:rsidRPr="00547A04" w:rsidRDefault="001806BE" w:rsidP="00917916">
            <w:pPr>
              <w:ind w:right="-1"/>
              <w:jc w:val="center"/>
              <w:rPr>
                <w:color w:val="000000"/>
                <w:sz w:val="28"/>
                <w:szCs w:val="28"/>
              </w:rPr>
            </w:pPr>
          </w:p>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917916">
            <w:pPr>
              <w:tabs>
                <w:tab w:val="left" w:pos="567"/>
              </w:tabs>
              <w:overflowPunct w:val="0"/>
              <w:autoSpaceDE w:val="0"/>
              <w:autoSpaceDN w:val="0"/>
              <w:adjustRightInd w:val="0"/>
              <w:jc w:val="both"/>
              <w:textAlignment w:val="baseline"/>
              <w:rPr>
                <w:color w:val="000000"/>
                <w:sz w:val="28"/>
                <w:szCs w:val="28"/>
              </w:rPr>
            </w:pP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917916">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917916">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917916">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547A04">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153A15"/>
    <w:rsid w:val="001806BE"/>
    <w:rsid w:val="002522AF"/>
    <w:rsid w:val="00501651"/>
    <w:rsid w:val="00506E91"/>
    <w:rsid w:val="005435FE"/>
    <w:rsid w:val="00635464"/>
    <w:rsid w:val="0067365C"/>
    <w:rsid w:val="00707A85"/>
    <w:rsid w:val="0086552C"/>
    <w:rsid w:val="00945055"/>
    <w:rsid w:val="009A3304"/>
    <w:rsid w:val="00A64C8E"/>
    <w:rsid w:val="00B80E5B"/>
    <w:rsid w:val="00BA56EB"/>
    <w:rsid w:val="00CD7F90"/>
    <w:rsid w:val="00D3118E"/>
    <w:rsid w:val="00DF1DC4"/>
    <w:rsid w:val="00E82771"/>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urgu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www.admsurgu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308460.0"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garantF1://455333.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C8BF-0839-4C71-9BD3-81FEB662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7247</Words>
  <Characters>41311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10</cp:revision>
  <cp:lastPrinted>2018-07-27T09:45:00Z</cp:lastPrinted>
  <dcterms:created xsi:type="dcterms:W3CDTF">2018-07-27T08:44:00Z</dcterms:created>
  <dcterms:modified xsi:type="dcterms:W3CDTF">2018-07-31T03:43:00Z</dcterms:modified>
</cp:coreProperties>
</file>