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FE" w:rsidRPr="00584C79" w:rsidRDefault="00584C79" w:rsidP="0058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79">
        <w:rPr>
          <w:rFonts w:ascii="Times New Roman" w:hAnsi="Times New Roman" w:cs="Times New Roman"/>
          <w:b/>
          <w:sz w:val="28"/>
          <w:szCs w:val="28"/>
        </w:rPr>
        <w:t xml:space="preserve">Отчет о развитии вектора </w:t>
      </w:r>
      <w:r w:rsidR="00F12B92">
        <w:rPr>
          <w:rFonts w:ascii="Times New Roman" w:hAnsi="Times New Roman" w:cs="Times New Roman"/>
          <w:b/>
          <w:sz w:val="28"/>
          <w:szCs w:val="28"/>
        </w:rPr>
        <w:t>«</w:t>
      </w:r>
      <w:r w:rsidRPr="00584C79">
        <w:rPr>
          <w:rFonts w:ascii="Times New Roman" w:hAnsi="Times New Roman" w:cs="Times New Roman"/>
          <w:b/>
          <w:sz w:val="28"/>
          <w:szCs w:val="28"/>
        </w:rPr>
        <w:t>Бизнес</w:t>
      </w:r>
      <w:r w:rsidR="00F12B92">
        <w:rPr>
          <w:rFonts w:ascii="Times New Roman" w:hAnsi="Times New Roman" w:cs="Times New Roman"/>
          <w:b/>
          <w:sz w:val="28"/>
          <w:szCs w:val="28"/>
        </w:rPr>
        <w:t>»</w:t>
      </w:r>
      <w:r w:rsidRPr="00584C79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584C79" w:rsidRDefault="00584C79">
      <w:pPr>
        <w:rPr>
          <w:rFonts w:ascii="Times New Roman" w:hAnsi="Times New Roman" w:cs="Times New Roman"/>
          <w:sz w:val="28"/>
          <w:szCs w:val="28"/>
        </w:rPr>
      </w:pPr>
    </w:p>
    <w:p w:rsidR="00584C79" w:rsidRPr="00F12B92" w:rsidRDefault="00584C79" w:rsidP="00F12B92">
      <w:pPr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Стратегическая цель вектора – улучшение делового климата для развития бизнеса в Сургуте.</w:t>
      </w:r>
    </w:p>
    <w:p w:rsidR="00584C79" w:rsidRPr="00F12B92" w:rsidRDefault="00584C79" w:rsidP="00F12B92">
      <w:pPr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84C79" w:rsidRPr="0085143F" w:rsidRDefault="00584C79" w:rsidP="00584C7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sz w:val="28"/>
          <w:szCs w:val="28"/>
        </w:rPr>
      </w:pPr>
      <w:r w:rsidRPr="0085143F">
        <w:rPr>
          <w:sz w:val="28"/>
          <w:szCs w:val="28"/>
        </w:rPr>
        <w:t>сформировать среду развития институтов поддержки предпринимательства, банковских и кредитных организаций;</w:t>
      </w:r>
    </w:p>
    <w:p w:rsidR="00584C79" w:rsidRPr="0085143F" w:rsidRDefault="00584C79" w:rsidP="00584C7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sz w:val="28"/>
          <w:szCs w:val="28"/>
        </w:rPr>
      </w:pPr>
      <w:r w:rsidRPr="0085143F">
        <w:rPr>
          <w:sz w:val="28"/>
          <w:szCs w:val="28"/>
        </w:rPr>
        <w:t>сформировать систему профессионального консалтингового и аудиторского сопровождения бизнеса, постоянного обучения и повышения квалификации;</w:t>
      </w:r>
    </w:p>
    <w:p w:rsidR="00584C79" w:rsidRPr="0085143F" w:rsidRDefault="00584C79" w:rsidP="00584C7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sz w:val="28"/>
          <w:szCs w:val="28"/>
        </w:rPr>
      </w:pPr>
      <w:r w:rsidRPr="0085143F">
        <w:rPr>
          <w:sz w:val="28"/>
          <w:szCs w:val="28"/>
        </w:rPr>
        <w:t xml:space="preserve">создать благоприятные условия для привлечения инвестиций, доступности капитала и реализации новых </w:t>
      </w:r>
      <w:proofErr w:type="gramStart"/>
      <w:r w:rsidRPr="0085143F">
        <w:rPr>
          <w:sz w:val="28"/>
          <w:szCs w:val="28"/>
        </w:rPr>
        <w:t>бизнес-проектов</w:t>
      </w:r>
      <w:proofErr w:type="gramEnd"/>
      <w:r w:rsidRPr="0085143F">
        <w:rPr>
          <w:sz w:val="28"/>
          <w:szCs w:val="28"/>
        </w:rPr>
        <w:t>;</w:t>
      </w:r>
    </w:p>
    <w:p w:rsidR="00584C79" w:rsidRPr="0085143F" w:rsidRDefault="00584C79" w:rsidP="00584C7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sz w:val="28"/>
          <w:szCs w:val="28"/>
        </w:rPr>
      </w:pPr>
      <w:r w:rsidRPr="0085143F">
        <w:rPr>
          <w:sz w:val="28"/>
          <w:szCs w:val="28"/>
        </w:rPr>
        <w:t>минимизировать административные барьеры, повысив скорость и качество услуг, прозрачность и достоверность информации для бизнеса;</w:t>
      </w:r>
    </w:p>
    <w:p w:rsidR="00584C79" w:rsidRPr="0085143F" w:rsidRDefault="00584C79" w:rsidP="00584C79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567"/>
        <w:rPr>
          <w:sz w:val="28"/>
          <w:szCs w:val="28"/>
        </w:rPr>
      </w:pPr>
      <w:r w:rsidRPr="0085143F">
        <w:rPr>
          <w:sz w:val="28"/>
          <w:szCs w:val="28"/>
        </w:rPr>
        <w:t>повысить правовую и финансовую культуру, социальную ответственность бизнеса.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Одной из характерных черт Сургута является многоплановость его хозяйства. В городе успешно развиваются нефтегазовая промышленность, энергетика, геологоразведка, строительство, функционирует 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развитая городская инфраструктура и широкая сеть муниципальных учреждений. Высокой уровень предпринимательской активности и социальной требовательности стали главными составляющими особого внимания всех </w:t>
      </w:r>
      <w:r w:rsidRPr="00F12B9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институтов поддержки предпринимательства, банковских и кредитных организаций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 городу. Сегодня на территории города обеспечено присутствие 44 банковских организаций, а со стороны государственных учреждений может  быть обеспечена разноплановая поддержка: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отделом развития предпринимательства Управления потребительского рынка и развития предпринимательства Департамента по экономической политике  Администрации города Сургута,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уполномоченным по защите прав предпринимателей (государственная должность Ханты-Мансийского автономного округа-Югры),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КУ ХМАО – Югры «Сургутский центр занятости населения»,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Фондом поддержки предпринимательства Югры (Сургутский филиал),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Фондом «Югорская региональная </w:t>
      </w:r>
      <w:proofErr w:type="spell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микрофинансовая</w:t>
      </w:r>
      <w:proofErr w:type="spell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организация» (Офис обслуживания «Сургутский»), 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АУ «Технопарк высоких технологий» (Обособленное структурное подразделение в г. Сургуте),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БУ Ханты-Мансийского автономного округа – Югры «Региональный центр инвестиций» (Представительство в </w:t>
      </w:r>
      <w:proofErr w:type="spell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г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.С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ургуте</w:t>
      </w:r>
      <w:proofErr w:type="spell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),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Фондом развития Ханты-Мансийского автономного округа-Югры,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Сургутская торгово-промышленная палата,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Фондом «Центр поддержки экспорта Югры»,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- Автономная некоммерческая организация «Агентство стратегических инициатив по продвижению новых проектов»,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Ассоциация молодых предпринимателей,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Так информационную поддержку предпринимателям оказывают: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Инвестиционный портал Ханты-Мансийского автономного округа — Югры,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официальный портал Администрации города Сургута (раздел «Предпринимательства», на котором обеспечена подписка на обновления),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а также присутствие в социальных сетях.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Очень хорошо зарекомендовали себя и такие формы взаимодействия бизнеса и власти как общественные и координационные советы: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а) в Сургуте это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совет при Главе города по организации стратегического управления в городе Сургуте,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инвестиционный совет при Главе города Сургута,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координационный совет по развитию малого и среднего предпринимательства при Администрации города под председательством Главы города,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сургутская</w:t>
      </w:r>
      <w:proofErr w:type="spell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городская трехсторонняя комиссия по регулированию социально-трудовых отношений,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координационного совета при Главе города Сургута по вопросам создания условий для развития туризма,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координационного совета по социальной рекламе;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б) на уровне округа обеспечено участие представителей бизнеса и инфраструктурной поддержки в следующих органах: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совет по развитию малого и среднего предпринимательства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Ханты-Мансийском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автономном округе – Югре,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совет при Правительстве Ханты-Мансийского автономного округа – Югры по вопросам развития инвестиционной деятельности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Ханты-Мансийском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автономном округе – Югре,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совет при Губернаторе Ханты-Мансийского автономного округа - Югры по развитию информационного общества,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комиссия по вопросам обеспечения устойчивого развития экономики и социальной стабильности Югры,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трехсторонняя комиссия Ханты-Мансийского автономного округа – Югры по регулированию социально-трудовых отношений,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межведомственный координационный совет по вопросам потребительского рынка Ханты-Мансийского автономного округа – Югры,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межотраслевой совет потребителей по вопросам деятельности субъектов естественных монополий при Губернаторе Ханты-Мансийского автономного округа – Югры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межведомственная комиссия при Правительстве Ханты-Мансийского автономного округа – Югры по вопросам кадастровой оценки объектов недвижимости, расположенных на территории Ханты-Мансийского автономного округа – Югры,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а также участие в общественных советах при департаментах Правительства Ханты-Мансийского автономного округа – Югры.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Мероприятия, направленные на формирование системного подхода к</w:t>
      </w:r>
      <w:r w:rsidRPr="00F12B9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профессиональному консалтинговому и аудиторскому сопровождению бизнеса, постоянному обучению и повышению квалификации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стали традиционными формами реализации подпрограмм «Развитие малого и среднего предпринимательства»</w:t>
      </w:r>
      <w:r w:rsidRPr="00F12B92">
        <w:rPr>
          <w:rStyle w:val="a6"/>
          <w:rFonts w:ascii="Times New Roman" w:eastAsia="Times New Roman" w:hAnsi="Times New Roman" w:cs="Times New Roman"/>
          <w:spacing w:val="-4"/>
          <w:sz w:val="28"/>
          <w:szCs w:val="28"/>
        </w:rPr>
        <w:footnoteReference w:id="1"/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«Улучшение условий и охраны труда в городе Сургуте»</w:t>
      </w:r>
      <w:r w:rsidRPr="00F12B92">
        <w:rPr>
          <w:rStyle w:val="a6"/>
          <w:rFonts w:ascii="Times New Roman" w:eastAsia="Times New Roman" w:hAnsi="Times New Roman" w:cs="Times New Roman"/>
          <w:spacing w:val="-4"/>
          <w:sz w:val="28"/>
          <w:szCs w:val="28"/>
        </w:rPr>
        <w:footnoteReference w:id="2"/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муниципальной программы «Создание условий для развития муниципальной политики в отдельных секторах экономики города Сургута на 2014 – 2020 годы» очень востребованные предпринимательским сообществом</w:t>
      </w:r>
      <w:r w:rsidRPr="00F12B92">
        <w:rPr>
          <w:rStyle w:val="a6"/>
          <w:rFonts w:ascii="Times New Roman" w:eastAsia="Times New Roman" w:hAnsi="Times New Roman" w:cs="Times New Roman"/>
          <w:spacing w:val="-4"/>
          <w:sz w:val="28"/>
          <w:szCs w:val="28"/>
        </w:rPr>
        <w:footnoteReference w:id="3"/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. Содержанием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обоих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подпрограмм предусмотрено 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предоставление бесплатного консультирования со стороны государственных и муниципальных органов в пределах их компетенции,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финансирование за счет бюджетных сре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дств пр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оведение семинаров, совещаний, конкурсов, круглых столов и иная консалтинговая поддержка, 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возможность получения субсидирования полученных консалтинговых, аудиторских, образовательных услуг, связанных с предпринимательской деятельностью.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Весь комплекс мероприятий также способствует тому, чтобы 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F12B9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повысить правовую и финансовую культуру, социальную ответственность бизнеса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Важным фактором активного социально-экономического развития муниципального образования, повышения конкурентоспособности и инвестиционной привлекательности города является проведение сбалансированной экономической политики, наличие эффективно функционирующей системы муниципального управления и формирование </w:t>
      </w:r>
      <w:r w:rsidRPr="00F12B9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благоприятной инвестиционной среды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это сегодня не дань моде, а необходимость продиктованная требованием времени и основными направлениями федеральной и окружной политики. 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рамках совершенствования </w:t>
      </w:r>
      <w:r w:rsidRPr="00F12B92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благоприятных условий привлечения инвестиций на территорию города, а также связанные с этим необходимость минимизации административных барьеров, повышение скорости и качества услуг, прозрачности и достоверности информации для бизнеса</w:t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, реализуется:</w:t>
      </w:r>
    </w:p>
    <w:p w:rsidR="00584C79" w:rsidRPr="00483939" w:rsidRDefault="00584C79" w:rsidP="00584C79">
      <w:pPr>
        <w:pStyle w:val="a3"/>
        <w:numPr>
          <w:ilvl w:val="0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483939">
        <w:rPr>
          <w:rFonts w:eastAsia="Times New Roman"/>
          <w:spacing w:val="-4"/>
          <w:sz w:val="28"/>
          <w:szCs w:val="28"/>
        </w:rPr>
        <w:t>сформирована комплексная система стратегического управления для понимания приоритетных направлений развития города (с учетом положений Стратегии ХМАО):</w:t>
      </w:r>
    </w:p>
    <w:p w:rsidR="00584C79" w:rsidRPr="00462235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462235">
        <w:rPr>
          <w:rFonts w:eastAsia="Times New Roman"/>
          <w:spacing w:val="-4"/>
          <w:sz w:val="28"/>
          <w:szCs w:val="28"/>
        </w:rPr>
        <w:t>принята Стратегия социально-экономического развития города Сургута до 2030 года (</w:t>
      </w:r>
      <w:r w:rsidRPr="00462235">
        <w:rPr>
          <w:sz w:val="28"/>
          <w:szCs w:val="28"/>
        </w:rPr>
        <w:t>решение Думы города от 08.06.2015 № 718-</w:t>
      </w:r>
      <w:r w:rsidRPr="00462235">
        <w:rPr>
          <w:sz w:val="28"/>
          <w:szCs w:val="28"/>
          <w:lang w:val="en-US"/>
        </w:rPr>
        <w:t>V</w:t>
      </w:r>
      <w:r w:rsidRPr="00462235">
        <w:rPr>
          <w:sz w:val="28"/>
          <w:szCs w:val="28"/>
        </w:rPr>
        <w:t xml:space="preserve"> ДГ</w:t>
      </w:r>
      <w:r w:rsidRPr="00462235">
        <w:rPr>
          <w:rFonts w:eastAsia="Times New Roman"/>
          <w:spacing w:val="-4"/>
          <w:sz w:val="28"/>
          <w:szCs w:val="28"/>
        </w:rPr>
        <w:t xml:space="preserve">) и планом мероприятий по ее реализации (постановление Администрации города от 02.11.2015 «Об утверждении плана мероприятий по реализации Стратегии </w:t>
      </w:r>
      <w:r w:rsidRPr="00462235">
        <w:rPr>
          <w:rFonts w:eastAsia="Times New Roman"/>
          <w:spacing w:val="-4"/>
          <w:sz w:val="28"/>
          <w:szCs w:val="28"/>
        </w:rPr>
        <w:lastRenderedPageBreak/>
        <w:t xml:space="preserve">социально-экономического развития муниципального образования городской округ город Сургут на период до 2030 года»), </w:t>
      </w:r>
    </w:p>
    <w:p w:rsidR="00584C79" w:rsidRPr="00462235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462235">
        <w:rPr>
          <w:rFonts w:eastAsia="Times New Roman"/>
          <w:spacing w:val="-4"/>
          <w:sz w:val="28"/>
          <w:szCs w:val="28"/>
        </w:rPr>
        <w:t>утверждена нормативная база для реализации мониторинга и контроля исполнения (постановление Администрации города от 11.02.2016          № 939 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мониторинга»),</w:t>
      </w:r>
    </w:p>
    <w:p w:rsidR="00584C79" w:rsidRPr="00462235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462235">
        <w:rPr>
          <w:rFonts w:eastAsia="Times New Roman"/>
          <w:spacing w:val="-4"/>
          <w:sz w:val="28"/>
          <w:szCs w:val="28"/>
        </w:rPr>
        <w:t>применяется «прозрачная» форма демонстрации процесса реализации через сайт ЮСИ</w:t>
      </w:r>
      <w:proofErr w:type="gramStart"/>
      <w:r w:rsidRPr="00462235">
        <w:rPr>
          <w:rFonts w:eastAsia="Times New Roman"/>
          <w:spacing w:val="-4"/>
          <w:sz w:val="28"/>
          <w:szCs w:val="28"/>
        </w:rPr>
        <w:t>.Р</w:t>
      </w:r>
      <w:proofErr w:type="gramEnd"/>
      <w:r w:rsidRPr="00462235">
        <w:rPr>
          <w:rFonts w:eastAsia="Times New Roman"/>
          <w:spacing w:val="-4"/>
          <w:sz w:val="28"/>
          <w:szCs w:val="28"/>
        </w:rPr>
        <w:t xml:space="preserve">Ф (заключено соглашение между Администрацией города и ООО «ЮСИ» об информационном сотрудничестве от 09.06.2015 № 17-10-3438/5), </w:t>
      </w:r>
    </w:p>
    <w:p w:rsidR="00584C79" w:rsidRPr="000F7DEB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0F7DEB">
        <w:rPr>
          <w:rFonts w:eastAsia="Times New Roman"/>
          <w:spacing w:val="-4"/>
          <w:sz w:val="28"/>
          <w:szCs w:val="28"/>
        </w:rPr>
        <w:t xml:space="preserve">система коллегиальных органов позволяет не только понять текущее представление о требованиях города и власти, но и сделать свои предложения и оценить степень заинтересованности властей и горожан в том или ином предлагаемом </w:t>
      </w:r>
      <w:proofErr w:type="gramStart"/>
      <w:r w:rsidRPr="000F7DEB">
        <w:rPr>
          <w:rFonts w:eastAsia="Times New Roman"/>
          <w:spacing w:val="-4"/>
          <w:sz w:val="28"/>
          <w:szCs w:val="28"/>
        </w:rPr>
        <w:t>бизнес-проекте</w:t>
      </w:r>
      <w:proofErr w:type="gramEnd"/>
      <w:r w:rsidRPr="000F7DEB">
        <w:rPr>
          <w:rFonts w:eastAsia="Times New Roman"/>
          <w:spacing w:val="-4"/>
          <w:sz w:val="28"/>
          <w:szCs w:val="28"/>
        </w:rPr>
        <w:t>,</w:t>
      </w:r>
    </w:p>
    <w:p w:rsidR="00584C79" w:rsidRPr="000F7DEB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0F7DEB">
        <w:rPr>
          <w:rFonts w:eastAsia="Times New Roman"/>
          <w:spacing w:val="-4"/>
          <w:sz w:val="28"/>
          <w:szCs w:val="28"/>
        </w:rPr>
        <w:t>гибкий механизм актуализации стратегии позволяет своевременно корректировать приоритеты и направления развития города,</w:t>
      </w:r>
    </w:p>
    <w:p w:rsidR="00584C79" w:rsidRPr="00A71543" w:rsidRDefault="00584C79" w:rsidP="00584C79">
      <w:pPr>
        <w:pStyle w:val="a3"/>
        <w:numPr>
          <w:ilvl w:val="0"/>
          <w:numId w:val="2"/>
        </w:numPr>
        <w:rPr>
          <w:rFonts w:eastAsia="Times New Roman"/>
          <w:spacing w:val="-4"/>
          <w:sz w:val="28"/>
          <w:szCs w:val="28"/>
        </w:rPr>
      </w:pPr>
      <w:r w:rsidRPr="00A71543">
        <w:rPr>
          <w:rFonts w:eastAsia="Times New Roman"/>
          <w:spacing w:val="-4"/>
          <w:sz w:val="28"/>
          <w:szCs w:val="28"/>
        </w:rPr>
        <w:t>сформирована комплексная градостроительная политика до 2035 года:</w:t>
      </w:r>
    </w:p>
    <w:p w:rsidR="00584C79" w:rsidRPr="00A71543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A71543">
        <w:rPr>
          <w:rFonts w:eastAsia="Times New Roman"/>
          <w:spacing w:val="-4"/>
          <w:sz w:val="28"/>
          <w:szCs w:val="28"/>
        </w:rPr>
        <w:t>в декабре 2014г. принят генеральный план развития города до 2035г. (по средствам актуализации ранее действовавшего и продления его на более долгосрочный период),</w:t>
      </w:r>
    </w:p>
    <w:p w:rsidR="00584C79" w:rsidRPr="002E5E8F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2E5E8F">
        <w:rPr>
          <w:rFonts w:eastAsia="Times New Roman"/>
          <w:spacing w:val="-4"/>
          <w:sz w:val="28"/>
          <w:szCs w:val="28"/>
        </w:rPr>
        <w:t>разрабатывается план мероприятий («дорожная карта») по реализации генерального плана</w:t>
      </w:r>
    </w:p>
    <w:p w:rsidR="00584C79" w:rsidRPr="002E5E8F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2E5E8F">
        <w:rPr>
          <w:rFonts w:eastAsia="Times New Roman"/>
          <w:spacing w:val="-4"/>
          <w:sz w:val="28"/>
          <w:szCs w:val="28"/>
        </w:rPr>
        <w:t>обновлена карта градостроительного зонирования (приложение к решению Думы города от 30.06.2015 № 737-V ДГ),</w:t>
      </w:r>
    </w:p>
    <w:p w:rsidR="00584C79" w:rsidRPr="002E5E8F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2E5E8F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2E5E8F">
        <w:rPr>
          <w:rFonts w:eastAsia="Times New Roman"/>
          <w:spacing w:val="-4"/>
          <w:sz w:val="28"/>
          <w:szCs w:val="28"/>
        </w:rPr>
        <w:t xml:space="preserve">функционирует геоинформационный портал (интерактивная веб-карта комплексного проекта г. Сургута </w:t>
      </w:r>
      <w:r>
        <w:rPr>
          <w:rFonts w:eastAsia="Times New Roman"/>
          <w:spacing w:val="-4"/>
          <w:sz w:val="28"/>
          <w:szCs w:val="28"/>
        </w:rPr>
        <w:t>демонстрирует и</w:t>
      </w:r>
      <w:r w:rsidRPr="002E5E8F">
        <w:rPr>
          <w:rFonts w:eastAsia="Times New Roman"/>
          <w:spacing w:val="-4"/>
          <w:sz w:val="28"/>
          <w:szCs w:val="28"/>
        </w:rPr>
        <w:t>нвестиционные площадки – территории или земельные участки (с необходимой землеустроительной документацией), как объекты привлечения инвесторов для реализации комплекса инвестиционных проектов</w:t>
      </w:r>
      <w:r>
        <w:rPr>
          <w:rFonts w:eastAsia="Times New Roman"/>
          <w:spacing w:val="-4"/>
          <w:sz w:val="28"/>
          <w:szCs w:val="28"/>
        </w:rPr>
        <w:t>, данная карта</w:t>
      </w:r>
      <w:r w:rsidRPr="002E5E8F">
        <w:rPr>
          <w:rFonts w:eastAsia="Times New Roman"/>
          <w:spacing w:val="-4"/>
          <w:sz w:val="28"/>
          <w:szCs w:val="28"/>
        </w:rPr>
        <w:t xml:space="preserve"> создана в рамках научно-исследовательской работы "Совершенствование системы управления градостроительным развитием городского округа города Сургута" на основе разработанной ИТП "ГРАД" программы для создания портальных решений «</w:t>
      </w:r>
      <w:proofErr w:type="spellStart"/>
      <w:r w:rsidRPr="002E5E8F">
        <w:rPr>
          <w:rFonts w:eastAsia="Times New Roman"/>
          <w:spacing w:val="-4"/>
          <w:sz w:val="28"/>
          <w:szCs w:val="28"/>
        </w:rPr>
        <w:t>ГеоГрад</w:t>
      </w:r>
      <w:proofErr w:type="spellEnd"/>
      <w:r w:rsidRPr="002E5E8F">
        <w:rPr>
          <w:rFonts w:eastAsia="Times New Roman"/>
          <w:spacing w:val="-4"/>
          <w:sz w:val="28"/>
          <w:szCs w:val="28"/>
        </w:rPr>
        <w:t>» («</w:t>
      </w:r>
      <w:proofErr w:type="spellStart"/>
      <w:r w:rsidRPr="002E5E8F">
        <w:rPr>
          <w:rFonts w:eastAsia="Times New Roman"/>
          <w:spacing w:val="-4"/>
          <w:sz w:val="28"/>
          <w:szCs w:val="28"/>
        </w:rPr>
        <w:t>GeoGrad</w:t>
      </w:r>
      <w:proofErr w:type="spellEnd"/>
      <w:r w:rsidRPr="002E5E8F">
        <w:rPr>
          <w:rFonts w:eastAsia="Times New Roman"/>
          <w:spacing w:val="-4"/>
          <w:sz w:val="28"/>
          <w:szCs w:val="28"/>
        </w:rPr>
        <w:t>»)).</w:t>
      </w:r>
      <w:proofErr w:type="gramEnd"/>
    </w:p>
    <w:p w:rsidR="00584C79" w:rsidRPr="000F7DEB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внедрена и успешно функционирует к</w:t>
      </w:r>
      <w:r w:rsidRPr="000F7DEB">
        <w:rPr>
          <w:rFonts w:eastAsia="Times New Roman"/>
          <w:spacing w:val="-4"/>
          <w:sz w:val="28"/>
          <w:szCs w:val="28"/>
        </w:rPr>
        <w:t>омплексная система управления развитием территории г. Сургута</w:t>
      </w:r>
      <w:r>
        <w:rPr>
          <w:rFonts w:eastAsia="Times New Roman"/>
          <w:spacing w:val="-4"/>
          <w:sz w:val="28"/>
          <w:szCs w:val="28"/>
        </w:rPr>
        <w:t>,</w:t>
      </w:r>
      <w:r w:rsidRPr="000F7DEB">
        <w:rPr>
          <w:rFonts w:eastAsia="Times New Roman"/>
          <w:spacing w:val="-4"/>
          <w:sz w:val="28"/>
          <w:szCs w:val="28"/>
        </w:rPr>
        <w:t xml:space="preserve"> созда</w:t>
      </w:r>
      <w:r>
        <w:rPr>
          <w:rFonts w:eastAsia="Times New Roman"/>
          <w:spacing w:val="-4"/>
          <w:sz w:val="28"/>
          <w:szCs w:val="28"/>
        </w:rPr>
        <w:t>нная</w:t>
      </w:r>
      <w:r w:rsidRPr="000F7DEB">
        <w:rPr>
          <w:rFonts w:eastAsia="Times New Roman"/>
          <w:spacing w:val="-4"/>
          <w:sz w:val="28"/>
          <w:szCs w:val="28"/>
        </w:rPr>
        <w:t xml:space="preserve"> как часть единой автоматизированной системы управления городом на основе муниципальной инфраструктуры пространственных данных. </w:t>
      </w:r>
      <w:proofErr w:type="gramStart"/>
      <w:r w:rsidRPr="000F7DEB">
        <w:rPr>
          <w:rFonts w:eastAsia="Times New Roman"/>
          <w:spacing w:val="-4"/>
          <w:sz w:val="28"/>
          <w:szCs w:val="28"/>
        </w:rPr>
        <w:t xml:space="preserve">Она выполнена </w:t>
      </w:r>
      <w:r>
        <w:rPr>
          <w:rFonts w:eastAsia="Times New Roman"/>
          <w:spacing w:val="-4"/>
          <w:sz w:val="28"/>
          <w:szCs w:val="28"/>
        </w:rPr>
        <w:t>для</w:t>
      </w:r>
      <w:r w:rsidRPr="000F7DEB">
        <w:rPr>
          <w:rFonts w:eastAsia="Times New Roman"/>
          <w:spacing w:val="-4"/>
          <w:sz w:val="28"/>
          <w:szCs w:val="28"/>
        </w:rPr>
        <w:t xml:space="preserve"> Департамента архитектуры и градостроительства администрации г. Сургута и предназначена для комплексной автоматизации деятельности отделов архитектуры и градостроительства (</w:t>
      </w:r>
      <w:proofErr w:type="spellStart"/>
      <w:r w:rsidRPr="000F7DEB">
        <w:rPr>
          <w:rFonts w:eastAsia="Times New Roman"/>
          <w:spacing w:val="-4"/>
          <w:sz w:val="28"/>
          <w:szCs w:val="28"/>
        </w:rPr>
        <w:t>ОАиГ</w:t>
      </w:r>
      <w:proofErr w:type="spellEnd"/>
      <w:r w:rsidRPr="000F7DEB">
        <w:rPr>
          <w:rFonts w:eastAsia="Times New Roman"/>
          <w:spacing w:val="-4"/>
          <w:sz w:val="28"/>
          <w:szCs w:val="28"/>
        </w:rPr>
        <w:t xml:space="preserve">) крупных, интенсивно развивающихся территориальных образований (городские округа), имеющих соответствующую информационно-техническую базу и кадровый состав, нуждающихся в эффективных средствах поддержки принятия управленческих решений и готовых использовать передовые технологии для эффективного управления </w:t>
      </w:r>
      <w:r w:rsidRPr="000F7DEB">
        <w:rPr>
          <w:rFonts w:eastAsia="Times New Roman"/>
          <w:spacing w:val="-4"/>
          <w:sz w:val="28"/>
          <w:szCs w:val="28"/>
        </w:rPr>
        <w:lastRenderedPageBreak/>
        <w:t>градостроительным развитием территории, не боящихся трудностей и устремленных в</w:t>
      </w:r>
      <w:proofErr w:type="gramEnd"/>
      <w:r w:rsidRPr="000F7DEB">
        <w:rPr>
          <w:rFonts w:eastAsia="Times New Roman"/>
          <w:spacing w:val="-4"/>
          <w:sz w:val="28"/>
          <w:szCs w:val="28"/>
        </w:rPr>
        <w:t xml:space="preserve"> будущее.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Система обеспечила: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нормативно-правовое обеспечение (положение о службе ИСОГД, соглашения об информационном взаимодействии);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методическое обеспечение (система требований, классификаторы и справочники);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организационное обеспечение (административные регламенты, справочные пособия, инструкции);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— информационное обеспечение (градостроительная документация, документы </w:t>
      </w:r>
      <w:proofErr w:type="spell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градорегулирования</w:t>
      </w:r>
      <w:proofErr w:type="spell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, наполнение баз данных);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технологическое обеспечение (программное обеспечение, в том числе модули автоматизации процессов градостроительной деятельности)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proofErr w:type="gram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убличными (размещены в электронном виде на официальном портале Администрации города) являются 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- </w:t>
      </w:r>
      <w:r w:rsidRPr="00415EBB">
        <w:rPr>
          <w:rFonts w:eastAsia="Times New Roman"/>
          <w:spacing w:val="-4"/>
          <w:sz w:val="28"/>
          <w:szCs w:val="28"/>
        </w:rPr>
        <w:t xml:space="preserve">реестры разрешений на ввод в эксплуатацию и строительство, 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 п</w:t>
      </w:r>
      <w:r w:rsidRPr="00415EBB">
        <w:rPr>
          <w:rFonts w:eastAsia="Times New Roman"/>
          <w:spacing w:val="-4"/>
          <w:sz w:val="28"/>
          <w:szCs w:val="28"/>
        </w:rPr>
        <w:t xml:space="preserve">еречень земельных участков для формирования на торги, 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 п</w:t>
      </w:r>
      <w:r w:rsidRPr="00415EBB">
        <w:rPr>
          <w:rFonts w:eastAsia="Times New Roman"/>
          <w:spacing w:val="-4"/>
          <w:sz w:val="28"/>
          <w:szCs w:val="28"/>
        </w:rPr>
        <w:t xml:space="preserve">лан-график проведения аукционов по продаже и (или) предоставлению в аренду земельных участков для размещения инвестиционных проектов, предусматривающих строительство жилья, 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 п</w:t>
      </w:r>
      <w:r w:rsidRPr="00415EBB">
        <w:rPr>
          <w:rFonts w:eastAsia="Times New Roman"/>
          <w:spacing w:val="-4"/>
          <w:sz w:val="28"/>
          <w:szCs w:val="28"/>
        </w:rPr>
        <w:t xml:space="preserve">лан-график проведения аукционов по продаже и (или) предоставлению в аренду земельных участков для размещения инвестиционных проектов, предусматривающих производство продукции, 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- р</w:t>
      </w:r>
      <w:r w:rsidRPr="00415EBB">
        <w:rPr>
          <w:rFonts w:eastAsia="Times New Roman"/>
          <w:spacing w:val="-4"/>
          <w:sz w:val="28"/>
          <w:szCs w:val="28"/>
        </w:rPr>
        <w:t>еестр земельных участков, которые могут быть предоставлены в аренду без проведения торгов (постановление Администрации города от 11.09.2015 № 6361)</w:t>
      </w:r>
      <w:r>
        <w:rPr>
          <w:rFonts w:eastAsia="Times New Roman"/>
          <w:spacing w:val="-4"/>
          <w:sz w:val="28"/>
          <w:szCs w:val="28"/>
        </w:rPr>
        <w:t>.</w:t>
      </w:r>
    </w:p>
    <w:p w:rsidR="00584C79" w:rsidRPr="00F12B92" w:rsidRDefault="00584C79" w:rsidP="00F12B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В результате автоматизация обеспечивает: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сокращение сроков подготовки исходно-разрешительной документации до 10 раз;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— повышение производительности труда сотрудников </w:t>
      </w:r>
      <w:proofErr w:type="spellStart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ОАиГ</w:t>
      </w:r>
      <w:proofErr w:type="spellEnd"/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2-3 раза;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снижение затрат на разработку и корректировку градостроительной документации в 2 раза за счет качественных исходных данных для проектирования;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улучшение инвестиционного климата территории за счет оперативного доступа к информации о территории;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— повышение качества градостроительных решений и динамического поэтапного планирования развития территории за счет автоматизированной системы моделирования градостроительных ситуаций;</w:t>
      </w:r>
    </w:p>
    <w:p w:rsidR="00584C7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proofErr w:type="gramStart"/>
      <w:r w:rsidRPr="000F7086">
        <w:rPr>
          <w:rFonts w:eastAsia="Times New Roman"/>
          <w:spacing w:val="-4"/>
          <w:sz w:val="28"/>
          <w:szCs w:val="28"/>
        </w:rPr>
        <w:t xml:space="preserve">— реализация административной реформы в соответствии с требованиями Концепции административной реформы в РФ в 2006–2010 гг., утвержденной распоряжением Правительства РФ от 25 октября 2005 г. № 789-р (в ред. постановления Правительства РФ от 28 марта 2008 г. № 221), Федерального закона № 8-ФЗ от 9 февраля 2009 г. «Об обеспечении доступа к информации о деятельности государственных органов и органов местного самоуправления» и </w:t>
      </w:r>
      <w:r w:rsidRPr="000F7086">
        <w:rPr>
          <w:rFonts w:eastAsia="Times New Roman"/>
          <w:spacing w:val="-4"/>
          <w:sz w:val="28"/>
          <w:szCs w:val="28"/>
        </w:rPr>
        <w:lastRenderedPageBreak/>
        <w:t>требованиями к</w:t>
      </w:r>
      <w:proofErr w:type="gramEnd"/>
      <w:r w:rsidRPr="000F7086">
        <w:rPr>
          <w:rFonts w:eastAsia="Times New Roman"/>
          <w:spacing w:val="-4"/>
          <w:sz w:val="28"/>
          <w:szCs w:val="28"/>
        </w:rPr>
        <w:t xml:space="preserve"> оказанию услуг заинтересованным лицам в режиме «одного окна».</w:t>
      </w:r>
    </w:p>
    <w:p w:rsidR="00584C79" w:rsidRPr="00415EBB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В соответствие с распоряжением Администрации города </w:t>
      </w:r>
      <w:r w:rsidRPr="00415EBB">
        <w:rPr>
          <w:rFonts w:eastAsia="Times New Roman"/>
          <w:spacing w:val="-4"/>
          <w:sz w:val="28"/>
          <w:szCs w:val="28"/>
        </w:rPr>
        <w:t>13.05.2013 N 1618 действует рабочая группа по снижению административных барьеров и повышению прозрачности административных процедур при реализации инвестиционно-строительных проектов.</w:t>
      </w:r>
    </w:p>
    <w:p w:rsidR="00584C79" w:rsidRPr="00F86CF9" w:rsidRDefault="00584C79" w:rsidP="00584C79">
      <w:pPr>
        <w:pStyle w:val="a3"/>
        <w:numPr>
          <w:ilvl w:val="1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сформирована нормативная база</w:t>
      </w:r>
      <w:r w:rsidRPr="00F86CF9">
        <w:rPr>
          <w:rFonts w:eastAsia="Times New Roman"/>
          <w:spacing w:val="-4"/>
          <w:sz w:val="28"/>
          <w:szCs w:val="28"/>
          <w:lang w:val="en-US"/>
        </w:rPr>
        <w:t>:</w:t>
      </w:r>
      <w:r w:rsidRPr="00F86CF9">
        <w:rPr>
          <w:rFonts w:eastAsia="Times New Roman"/>
          <w:spacing w:val="-4"/>
          <w:sz w:val="28"/>
          <w:szCs w:val="28"/>
        </w:rPr>
        <w:t xml:space="preserve"> 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распоряжение Администрации города от  31.10.2011 № 3256 «Об утверждении состава рабочей группы по реализации государственно-частного партнерства на территории города» (с изменениями от 06.07.2012 № 1889);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решение Думы города от 27.02.2009 №509-IV ДГ «О порядке предоставления муниципальных гарантий городского округа город Сургут» (с изменениями от 25.04.2012 № 175-V ДГ);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 xml:space="preserve">- постановление Администрации города от 29.08.2014 № 6035 «Об 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 (с изменениями от 28.01.2015 № 460, от 05.11.2015 № 7721); 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постановление Администрации города от  22.06.2012 № 4700 «Об утверждении положения о проведении мониторинга инвестиционной деятельности на территории города Сургута»;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постановление Администрации города от  15.02.2013 № 945 «О порядке проведения проверки сметной стоимости на предмет достоверности использования направляемых на капитальные вложения средств местного бюджета»;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решение Думы города от 07.05.2015 № 695-V ДГ «О местных нормативах градостроительного проектирования на территории муниципального образования городской округ город Сургут»;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постановление Правительства ХМАО-Югры от 29.05.2014 № 201-п «О внесении изменений в приложение к постановлению Правительства Ханты-Мансийского автономного округа – Югры от 02.12.2011 № 457-п «Об арендной плате за земельные участки земель населенных пунктов»;</w:t>
      </w:r>
    </w:p>
    <w:p w:rsidR="00584C79" w:rsidRPr="00F86CF9" w:rsidRDefault="00584C79" w:rsidP="00584C79">
      <w:pPr>
        <w:pStyle w:val="a3"/>
        <w:ind w:left="0" w:firstLine="567"/>
        <w:rPr>
          <w:rFonts w:eastAsia="Times New Roman"/>
          <w:spacing w:val="-4"/>
          <w:sz w:val="28"/>
          <w:szCs w:val="28"/>
        </w:rPr>
      </w:pPr>
      <w:r w:rsidRPr="00F86CF9">
        <w:rPr>
          <w:rFonts w:eastAsia="Times New Roman"/>
          <w:spacing w:val="-4"/>
          <w:sz w:val="28"/>
          <w:szCs w:val="28"/>
        </w:rPr>
        <w:t>- решение Думы города от 26.12.2012 № 281-V ДГ «Об утверждении методики расчета арендной платы за пользование муниципальным имуществом, расположенным на территории города»  (с изменениями).</w:t>
      </w:r>
    </w:p>
    <w:p w:rsidR="00584C79" w:rsidRPr="00BF0806" w:rsidRDefault="00584C79" w:rsidP="00584C79">
      <w:pPr>
        <w:pStyle w:val="a3"/>
        <w:numPr>
          <w:ilvl w:val="0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proofErr w:type="gramStart"/>
      <w:r w:rsidRPr="00BF0806">
        <w:rPr>
          <w:rFonts w:eastAsia="Times New Roman"/>
          <w:spacing w:val="-4"/>
          <w:sz w:val="28"/>
          <w:szCs w:val="28"/>
        </w:rPr>
        <w:t xml:space="preserve">осознавая значимость мнения представителей бизнес-сообщества и жителей города, Администрация города с 2015 года (досрочно) реализует  </w:t>
      </w:r>
      <w:r>
        <w:rPr>
          <w:rFonts w:eastAsia="Times New Roman"/>
          <w:spacing w:val="-4"/>
          <w:sz w:val="28"/>
          <w:szCs w:val="28"/>
        </w:rPr>
        <w:t>о</w:t>
      </w:r>
      <w:r w:rsidRPr="00230246">
        <w:rPr>
          <w:rFonts w:eastAsia="Times New Roman"/>
          <w:spacing w:val="-4"/>
          <w:sz w:val="28"/>
          <w:szCs w:val="28"/>
        </w:rPr>
        <w:t>ценк</w:t>
      </w:r>
      <w:r>
        <w:rPr>
          <w:rFonts w:eastAsia="Times New Roman"/>
          <w:spacing w:val="-4"/>
          <w:sz w:val="28"/>
          <w:szCs w:val="28"/>
        </w:rPr>
        <w:t>у</w:t>
      </w:r>
      <w:r w:rsidRPr="00230246">
        <w:rPr>
          <w:rFonts w:eastAsia="Times New Roman"/>
          <w:spacing w:val="-4"/>
          <w:sz w:val="28"/>
          <w:szCs w:val="28"/>
        </w:rPr>
        <w:t xml:space="preserve"> регулирующего воздействия, фактического воздействия и экспертиза </w:t>
      </w:r>
      <w:r w:rsidRPr="00BF0806">
        <w:rPr>
          <w:rFonts w:eastAsia="Times New Roman"/>
          <w:spacing w:val="-4"/>
          <w:sz w:val="28"/>
          <w:szCs w:val="28"/>
        </w:rPr>
        <w:t>муниципальных нормативных правовых актов (проектов)</w:t>
      </w:r>
      <w:r>
        <w:rPr>
          <w:rFonts w:eastAsia="Times New Roman"/>
          <w:spacing w:val="-4"/>
          <w:sz w:val="28"/>
          <w:szCs w:val="28"/>
        </w:rPr>
        <w:t xml:space="preserve"> в</w:t>
      </w:r>
      <w:r w:rsidRPr="00BF0806">
        <w:rPr>
          <w:rFonts w:eastAsia="Times New Roman"/>
          <w:spacing w:val="-4"/>
          <w:sz w:val="28"/>
          <w:szCs w:val="28"/>
        </w:rPr>
        <w:t xml:space="preserve"> соответствии со ст.7, 46 Федерального закона от 06.10.2003 № 131-ФЗ «Об общих принципах организации местного самоуправления в Российской Федерации», Указом Президента Российской Федерации от 07.05.2012 № 601 «Об основных направлениях совершенствования системы государственного</w:t>
      </w:r>
      <w:proofErr w:type="gramEnd"/>
      <w:r w:rsidRPr="00BF0806">
        <w:rPr>
          <w:rFonts w:eastAsia="Times New Roman"/>
          <w:spacing w:val="-4"/>
          <w:sz w:val="28"/>
          <w:szCs w:val="28"/>
        </w:rPr>
        <w:t xml:space="preserve"> </w:t>
      </w:r>
      <w:proofErr w:type="gramStart"/>
      <w:r w:rsidRPr="00BF0806">
        <w:rPr>
          <w:rFonts w:eastAsia="Times New Roman"/>
          <w:spacing w:val="-4"/>
          <w:sz w:val="28"/>
          <w:szCs w:val="28"/>
        </w:rPr>
        <w:t xml:space="preserve">управления», Законом Ханты-Мансийского автономного округа </w:t>
      </w:r>
      <w:r>
        <w:rPr>
          <w:rFonts w:eastAsia="Times New Roman"/>
          <w:spacing w:val="-4"/>
          <w:sz w:val="28"/>
          <w:szCs w:val="28"/>
        </w:rPr>
        <w:t>– Югры от</w:t>
      </w:r>
      <w:r w:rsidRPr="00BF0806">
        <w:rPr>
          <w:rFonts w:eastAsia="Times New Roman"/>
          <w:spacing w:val="-4"/>
          <w:sz w:val="28"/>
          <w:szCs w:val="28"/>
        </w:rPr>
        <w:t xml:space="preserve"> 29.05.2014 № 42-оз «Об отдельных вопро</w:t>
      </w:r>
      <w:r>
        <w:rPr>
          <w:rFonts w:eastAsia="Times New Roman"/>
          <w:spacing w:val="-4"/>
          <w:sz w:val="28"/>
          <w:szCs w:val="28"/>
        </w:rPr>
        <w:t>сах организации оценки регулиру</w:t>
      </w:r>
      <w:r w:rsidRPr="00BF0806">
        <w:rPr>
          <w:rFonts w:eastAsia="Times New Roman"/>
          <w:spacing w:val="-4"/>
          <w:sz w:val="28"/>
          <w:szCs w:val="28"/>
        </w:rPr>
        <w:t xml:space="preserve">ющего воздействия </w:t>
      </w:r>
      <w:r w:rsidRPr="00BF0806">
        <w:rPr>
          <w:rFonts w:eastAsia="Times New Roman"/>
          <w:spacing w:val="-4"/>
          <w:sz w:val="28"/>
          <w:szCs w:val="28"/>
        </w:rPr>
        <w:lastRenderedPageBreak/>
        <w:t>проектов нормативных правовых актов, экс</w:t>
      </w:r>
      <w:r>
        <w:rPr>
          <w:rFonts w:eastAsia="Times New Roman"/>
          <w:spacing w:val="-4"/>
          <w:sz w:val="28"/>
          <w:szCs w:val="28"/>
        </w:rPr>
        <w:t xml:space="preserve">пертизы </w:t>
      </w:r>
      <w:r w:rsidRPr="00BF0806">
        <w:rPr>
          <w:rFonts w:eastAsia="Times New Roman"/>
          <w:spacing w:val="-4"/>
          <w:sz w:val="28"/>
          <w:szCs w:val="28"/>
        </w:rPr>
        <w:t>и оценки фактического воздействия нормативных правовых актов в Ханты-Мансийском автономном округе – Югре и о внесении изменения в статью 33.2 Закона Ханты-Мансийского автономного округа – Югры «О нормативных правовых актах Ханты-Мансийского автономного округа – Югры»</w:t>
      </w:r>
      <w:r>
        <w:rPr>
          <w:rFonts w:eastAsia="Times New Roman"/>
          <w:spacing w:val="-4"/>
          <w:sz w:val="28"/>
          <w:szCs w:val="28"/>
        </w:rPr>
        <w:t>.</w:t>
      </w:r>
      <w:proofErr w:type="gramEnd"/>
    </w:p>
    <w:p w:rsidR="00584C79" w:rsidRPr="00BF0806" w:rsidRDefault="00584C79" w:rsidP="00584C79">
      <w:pPr>
        <w:pStyle w:val="a3"/>
        <w:numPr>
          <w:ilvl w:val="0"/>
          <w:numId w:val="2"/>
        </w:numPr>
        <w:ind w:left="0" w:firstLine="567"/>
        <w:rPr>
          <w:rFonts w:eastAsia="Times New Roman"/>
          <w:spacing w:val="-4"/>
          <w:sz w:val="28"/>
          <w:szCs w:val="28"/>
        </w:rPr>
      </w:pPr>
      <w:r w:rsidRPr="00BF0806">
        <w:rPr>
          <w:rFonts w:eastAsia="Times New Roman"/>
          <w:spacing w:val="-4"/>
          <w:sz w:val="28"/>
          <w:szCs w:val="28"/>
        </w:rPr>
        <w:t>доступность и открытость расходования бюджетных средств реализовано через локализацию всех муниципальных закупок муниципалитета на базе автоматизированной информационной системы «</w:t>
      </w:r>
      <w:proofErr w:type="spellStart"/>
      <w:r w:rsidRPr="00BF0806">
        <w:rPr>
          <w:rFonts w:eastAsia="Times New Roman"/>
          <w:spacing w:val="-4"/>
          <w:sz w:val="28"/>
          <w:szCs w:val="28"/>
        </w:rPr>
        <w:t>Горзакупки</w:t>
      </w:r>
      <w:proofErr w:type="spellEnd"/>
      <w:r w:rsidRPr="00BF0806">
        <w:rPr>
          <w:rFonts w:eastAsia="Times New Roman"/>
          <w:spacing w:val="-4"/>
          <w:sz w:val="28"/>
          <w:szCs w:val="28"/>
        </w:rPr>
        <w:t xml:space="preserve"> Сургут», имеющей внешний сайт.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6"/>
          <w:sz w:val="28"/>
          <w:szCs w:val="28"/>
        </w:rPr>
        <w:t>Между тем, особое внимание Администрации города традиционно обращено в сторону малого и среднего предпринимательства, которое обладает стабилизирующим фактором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Кроме того, малый и средний бизнес в значительной степени является экономической основой становления местного самоуправления. 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Период первоначального формирования условий для развития предпринимательской деятельности в муниципальном образовании </w:t>
      </w:r>
      <w:r w:rsidR="00207C2B" w:rsidRPr="00F12B92">
        <w:rPr>
          <w:rFonts w:ascii="Times New Roman" w:eastAsia="Times New Roman" w:hAnsi="Times New Roman" w:cs="Times New Roman"/>
          <w:sz w:val="28"/>
          <w:szCs w:val="28"/>
        </w:rPr>
        <w:t xml:space="preserve">завершен.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В то же время продолжают сохраняться некоторые трудности (п</w:t>
      </w:r>
      <w:r w:rsidR="00207C2B" w:rsidRPr="00F12B92">
        <w:rPr>
          <w:rFonts w:ascii="Times New Roman" w:eastAsia="Times New Roman" w:hAnsi="Times New Roman" w:cs="Times New Roman"/>
          <w:sz w:val="28"/>
          <w:szCs w:val="28"/>
        </w:rPr>
        <w:t xml:space="preserve">роблемы),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объективно присущие этой области, не только в городе Сургуте, но и в России в целом, основными из них являются: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B92">
        <w:rPr>
          <w:rFonts w:ascii="Times New Roman" w:eastAsia="Times New Roman" w:hAnsi="Times New Roman" w:cs="Times New Roman"/>
          <w:sz w:val="28"/>
          <w:szCs w:val="28"/>
        </w:rPr>
        <w:t>- недостаточность собственных финансовых ресурсов, в том числе                    для использования современных технологий и оборудования, сложность            в получении кредитов из-за достаточно высоких по сравнению с доходностью бизнеса ставок платы за кредитные ресурсы и жестких требо</w:t>
      </w:r>
      <w:r w:rsidR="00207C2B" w:rsidRPr="00F12B92">
        <w:rPr>
          <w:rFonts w:ascii="Times New Roman" w:eastAsia="Times New Roman" w:hAnsi="Times New Roman" w:cs="Times New Roman"/>
          <w:sz w:val="28"/>
          <w:szCs w:val="28"/>
        </w:rPr>
        <w:t xml:space="preserve">ваний банков  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к обеспечению, связанных с получением кредитов;</w:t>
      </w:r>
      <w:proofErr w:type="gramEnd"/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>- слабая имущественная база (недостаточность основных фондов) малых предприятий и, как следствие, недостаточность собственного обеспечения                    исполнения обязательств по кредитному договору;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высокие издержки при «вхождении на рынок» для начинающих субъектов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 малого предпринимательства, в том числе высокая арендная плата за жилые помещения, финансовые и административные трудности при решении вопросов доступа к инженерным сетям;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>- проблемы продвижения продукции (работ и услуг) на региональные                     и международные рынки (недостаточно эффективная маркетинговая политика);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>- недостаток квалифицированных кадров;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>- проблемы в получении земельных участков под объекты недвижимого имущества;</w:t>
      </w:r>
    </w:p>
    <w:p w:rsidR="00584C79" w:rsidRPr="00F12B92" w:rsidRDefault="00584C79" w:rsidP="00F12B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>- и другие.</w:t>
      </w:r>
    </w:p>
    <w:p w:rsidR="00584C79" w:rsidRPr="00F12B92" w:rsidRDefault="00584C79" w:rsidP="00F12B9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В 2015 году состоялось 3 заседания координационного совета по развитию малого и среднего предпринимательства при Администрации города под председательством Главы города (09.04.2015, 21.10.2015, 26.11.2015), проведено 90 мероприятий, в том числе 46 совместно с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 инфраструктуры поддержки предпринимательства;</w:t>
      </w:r>
    </w:p>
    <w:p w:rsidR="00584C79" w:rsidRPr="00F12B92" w:rsidRDefault="00584C79" w:rsidP="00F12B92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- определены перспективные направления бизнеса: инновационное                    экспортно-ориентированное и импортозамещающее производство с учетом специфики города; </w:t>
      </w:r>
      <w:proofErr w:type="spellStart"/>
      <w:r w:rsidRPr="00F12B92">
        <w:rPr>
          <w:rFonts w:ascii="Times New Roman" w:eastAsia="Times New Roman" w:hAnsi="Times New Roman" w:cs="Times New Roman"/>
          <w:sz w:val="28"/>
          <w:szCs w:val="28"/>
        </w:rPr>
        <w:t>нефтесервисное</w:t>
      </w:r>
      <w:proofErr w:type="spellEnd"/>
      <w:r w:rsidRPr="00F12B92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обслуживание секторов экономики топливно-энергетического комплекса; гражданско-промышленное строительство и особенно индивидуальное жилищное строительство; предпринимательство в социальной сфере; платные услуги населению в сфере здравоохранения, образования, культуры, спорта; услуги «шаговой доступности» с ориентацией на ассортиментную конкуренцию;</w:t>
      </w:r>
    </w:p>
    <w:p w:rsidR="00584C79" w:rsidRPr="00F12B92" w:rsidRDefault="00584C79" w:rsidP="00F12B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B92">
        <w:rPr>
          <w:rFonts w:ascii="Times New Roman" w:eastAsia="Times New Roman" w:hAnsi="Times New Roman" w:cs="Times New Roman"/>
          <w:sz w:val="28"/>
          <w:szCs w:val="28"/>
        </w:rPr>
        <w:t>- сформирована муниципальная программа «Развитие малого                           и среднего предпринимательства в городе Сургуте на 2016 – 2030 годы»</w:t>
      </w:r>
      <w:r w:rsidRPr="00F12B9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,                   содержащая комплекс мероприятий: проведение деловых и образовательных мероприятий, конкурсов профессионального мастерства, форумов и слетов, встреч с предпринимателями, ярмарок и деловых миссий, п</w:t>
      </w:r>
      <w:r w:rsidR="00207C2B" w:rsidRPr="00F12B92">
        <w:rPr>
          <w:rFonts w:ascii="Times New Roman" w:eastAsia="Times New Roman" w:hAnsi="Times New Roman" w:cs="Times New Roman"/>
          <w:sz w:val="28"/>
          <w:szCs w:val="28"/>
        </w:rPr>
        <w:t xml:space="preserve">убликацией статей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и трансляцией ауди</w:t>
      </w:r>
      <w:r w:rsidR="00207C2B" w:rsidRPr="00F12B92">
        <w:rPr>
          <w:rFonts w:ascii="Times New Roman" w:eastAsia="Times New Roman" w:hAnsi="Times New Roman" w:cs="Times New Roman"/>
          <w:sz w:val="28"/>
          <w:szCs w:val="28"/>
        </w:rPr>
        <w:t xml:space="preserve">о- и видеороликов, </w:t>
      </w:r>
      <w:r w:rsidRPr="00F12B92">
        <w:rPr>
          <w:rFonts w:ascii="Times New Roman" w:eastAsia="Times New Roman" w:hAnsi="Times New Roman" w:cs="Times New Roman"/>
          <w:sz w:val="28"/>
          <w:szCs w:val="28"/>
        </w:rPr>
        <w:t>оказание консультационной, имущественной и финансовой поддержки.</w:t>
      </w:r>
      <w:proofErr w:type="gramEnd"/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С целью повышения роли малого предпринимательства в экономике города в 2015 году реализовалась подпрограмма «Развитие малого и среднего предпринимательства» муниципальной программы «Создание условий для развития муниципальной политики в отдельных секторах экономики города Сургута на 2014 – 2020 годы»</w:t>
      </w:r>
      <w:r w:rsidRPr="00F12B92">
        <w:rPr>
          <w:rStyle w:val="a6"/>
          <w:rFonts w:ascii="Times New Roman" w:eastAsia="Times New Roman" w:hAnsi="Times New Roman" w:cs="Times New Roman"/>
          <w:spacing w:val="-4"/>
          <w:sz w:val="28"/>
          <w:szCs w:val="28"/>
        </w:rPr>
        <w:footnoteReference w:id="5"/>
      </w: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 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2015 году финансирование подпрограммы составило 18 065,4 тыс. рублей, в том числе 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- 5 774,1 тыс. рублей из местного бюджета,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- 12 291,3 тыс. рублей из средств окружного бюджета. 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Исполнение составило 16 904,79 тыс. рублей (94 %), в том числе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- 5 664,10 тыс. рублей (98%) из средств местного бюджета,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>- 11 240,69 тыс. рублей (91%) из средств окружного бюджета.</w:t>
      </w:r>
    </w:p>
    <w:p w:rsidR="00584C79" w:rsidRPr="00F12B92" w:rsidRDefault="00584C79" w:rsidP="00F12B9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12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муниципальном образовании доля муниципальных закупок у субъектов малого предпринимательства, социально ориентированных некоммерческих организаций от совокупного годового объема закупок составила 26,3% (общая сумма контрактов 719 646,6 тыс. рублей). 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На территории города Сургута по состоянию на 01.01.2016 осуществляли свою деятельность более 20,5 тысяч субъектов малого и среднего предпринимательства, в том числе 8,9 тысяч юридических лиц (прирост по сравнению с 2014 годом на 5,9%) и 11,5 тысяч индивидуальных предпринимателей (прирост по сравнению с 2014 годом 6,5 %), при этом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lastRenderedPageBreak/>
        <w:t xml:space="preserve">- оборот товаров (работ, услуг) субъектов малого и среднего предпринимательства за 2015 год составил 169 690,8 млн. рублей (прирост по сравнению с 2014 годом 7,7%), 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на малых и средних предприятиях - 33,8 тыс. человек,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B92">
        <w:rPr>
          <w:rFonts w:ascii="Times New Roman" w:hAnsi="Times New Roman" w:cs="Times New Roman"/>
          <w:sz w:val="28"/>
          <w:szCs w:val="28"/>
        </w:rPr>
        <w:t>- доля среднесписочной численности занятых у субъектов малого предпринимательства в общей численности занятого населения города - 28,5%,</w:t>
      </w:r>
      <w:proofErr w:type="gramEnd"/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- доля налогов, поступающих от субъектов малого и среднего предпринимательства, в налоговых поступлениях бюджета города составила 17,2 % или 1 367,2 млн. рублей, что выше значения 2014 года на 3,2 %,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 xml:space="preserve">Положительное влияние реализации указанных мер, а также мероприятий по реализации стратегии, демонстрируют интегральные индексы достижения стратегии развития города Сургута: 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 xml:space="preserve">индекс динамики развития малого и среднего предпринимательства - 85% (плановое значение -82%), 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>индекс масштабов деятельности субъектов малого и среднего предпринимательства - 78%</w:t>
      </w:r>
      <w:r w:rsidRPr="00F12B92">
        <w:rPr>
          <w:rFonts w:ascii="Times New Roman" w:hAnsi="Times New Roman" w:cs="Times New Roman"/>
          <w:sz w:val="28"/>
          <w:szCs w:val="28"/>
        </w:rPr>
        <w:tab/>
        <w:t>(плановое значение - 75%).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 xml:space="preserve">Таким образом, анализ достижения значений частных и интегральных индексов достижения целей Стратегии 2030 показал, что сектор малого и среднего предпринимательства в городе динамично развивается. </w:t>
      </w: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C79" w:rsidRPr="00F12B92" w:rsidRDefault="00584C79" w:rsidP="00F12B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C79" w:rsidRPr="00F12B92" w:rsidRDefault="00584C79" w:rsidP="00F12B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584C79" w:rsidRPr="00F12B92" w:rsidRDefault="00584C79" w:rsidP="00F12B9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B92">
        <w:rPr>
          <w:rFonts w:ascii="Times New Roman" w:hAnsi="Times New Roman" w:cs="Times New Roman"/>
          <w:sz w:val="28"/>
          <w:szCs w:val="28"/>
        </w:rPr>
        <w:t xml:space="preserve">по экономической политике           </w:t>
      </w:r>
      <w:bookmarkStart w:id="0" w:name="_GoBack"/>
      <w:bookmarkEnd w:id="0"/>
      <w:r w:rsidRPr="00F12B92">
        <w:rPr>
          <w:rFonts w:ascii="Times New Roman" w:hAnsi="Times New Roman" w:cs="Times New Roman"/>
          <w:sz w:val="28"/>
          <w:szCs w:val="28"/>
        </w:rPr>
        <w:t xml:space="preserve">                                                Ю.Г. Королёва</w:t>
      </w:r>
    </w:p>
    <w:p w:rsidR="00584C79" w:rsidRPr="00584C79" w:rsidRDefault="00584C79">
      <w:pPr>
        <w:rPr>
          <w:rFonts w:ascii="Times New Roman" w:hAnsi="Times New Roman" w:cs="Times New Roman"/>
          <w:sz w:val="28"/>
          <w:szCs w:val="28"/>
        </w:rPr>
      </w:pPr>
    </w:p>
    <w:sectPr w:rsidR="00584C79" w:rsidRPr="0058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D2" w:rsidRDefault="008E45D2" w:rsidP="00584C79">
      <w:pPr>
        <w:spacing w:after="0" w:line="240" w:lineRule="auto"/>
      </w:pPr>
      <w:r>
        <w:separator/>
      </w:r>
    </w:p>
  </w:endnote>
  <w:endnote w:type="continuationSeparator" w:id="0">
    <w:p w:rsidR="008E45D2" w:rsidRDefault="008E45D2" w:rsidP="0058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D2" w:rsidRDefault="008E45D2" w:rsidP="00584C79">
      <w:pPr>
        <w:spacing w:after="0" w:line="240" w:lineRule="auto"/>
      </w:pPr>
      <w:r>
        <w:separator/>
      </w:r>
    </w:p>
  </w:footnote>
  <w:footnote w:type="continuationSeparator" w:id="0">
    <w:p w:rsidR="008E45D2" w:rsidRDefault="008E45D2" w:rsidP="00584C79">
      <w:pPr>
        <w:spacing w:after="0" w:line="240" w:lineRule="auto"/>
      </w:pPr>
      <w:r>
        <w:continuationSeparator/>
      </w:r>
    </w:p>
  </w:footnote>
  <w:footnote w:id="1">
    <w:p w:rsidR="00584C79" w:rsidRDefault="00584C79" w:rsidP="00584C79">
      <w:pPr>
        <w:pStyle w:val="a4"/>
      </w:pPr>
      <w:r>
        <w:rPr>
          <w:rStyle w:val="a6"/>
        </w:rPr>
        <w:footnoteRef/>
      </w:r>
      <w:r>
        <w:t xml:space="preserve"> </w:t>
      </w:r>
      <w:r w:rsidRPr="009755B9">
        <w:t>Информация о реализации подпрограммы</w:t>
      </w:r>
      <w:r>
        <w:t xml:space="preserve"> является приложением № 1 к настоящему отчету</w:t>
      </w:r>
    </w:p>
  </w:footnote>
  <w:footnote w:id="2">
    <w:p w:rsidR="00584C79" w:rsidRDefault="00584C79" w:rsidP="00584C79">
      <w:pPr>
        <w:pStyle w:val="a4"/>
      </w:pPr>
      <w:r>
        <w:rPr>
          <w:rStyle w:val="a6"/>
        </w:rPr>
        <w:footnoteRef/>
      </w:r>
      <w:r>
        <w:t xml:space="preserve"> </w:t>
      </w:r>
      <w:r w:rsidRPr="009755B9">
        <w:t xml:space="preserve">Информация о реализации подпрограммы является приложением № </w:t>
      </w:r>
      <w:r>
        <w:t>2</w:t>
      </w:r>
      <w:r w:rsidRPr="009755B9">
        <w:t xml:space="preserve"> к настоящему отчету</w:t>
      </w:r>
    </w:p>
  </w:footnote>
  <w:footnote w:id="3">
    <w:p w:rsidR="00584C79" w:rsidRDefault="00584C79" w:rsidP="00584C79">
      <w:pPr>
        <w:pStyle w:val="a4"/>
      </w:pPr>
      <w:r>
        <w:rPr>
          <w:rStyle w:val="a6"/>
        </w:rPr>
        <w:footnoteRef/>
      </w:r>
      <w:r>
        <w:t xml:space="preserve"> См. также в векторе «Промышленность» информацию о реализации</w:t>
      </w:r>
      <w:r w:rsidRPr="00E232FE">
        <w:t xml:space="preserve"> подпрограммы «Улучшение условий и охраны труда в городе Сургуте» муниципальной программы «Создание условий для развития муниципальной политики в отдельных секторах экономики города Сургута на 2014 - 2020 годы»</w:t>
      </w:r>
    </w:p>
  </w:footnote>
  <w:footnote w:id="4">
    <w:p w:rsidR="00584C79" w:rsidRDefault="00584C79" w:rsidP="00584C79">
      <w:pPr>
        <w:pStyle w:val="a4"/>
      </w:pPr>
      <w:r>
        <w:rPr>
          <w:rStyle w:val="a6"/>
        </w:rPr>
        <w:footnoteRef/>
      </w:r>
      <w:r>
        <w:t xml:space="preserve"> Она стала «преемницей» </w:t>
      </w:r>
      <w:r w:rsidRPr="00BF0806">
        <w:t>подпрограмм</w:t>
      </w:r>
      <w:r>
        <w:t>ы</w:t>
      </w:r>
      <w:r w:rsidRPr="00BF0806">
        <w:t xml:space="preserve"> «Развитие малого и среднего предпринимательства» муниципальной программы «Создание условий для развития муниципальной политики в отдельных секторах экономики города Сургута на 2014 – 2020 годы»</w:t>
      </w:r>
      <w:r>
        <w:t>, утвержденной постановлением Администрации города от 13.12.2013 № 8982</w:t>
      </w:r>
    </w:p>
  </w:footnote>
  <w:footnote w:id="5">
    <w:p w:rsidR="00584C79" w:rsidRDefault="00584C79" w:rsidP="00584C79">
      <w:pPr>
        <w:pStyle w:val="a4"/>
      </w:pPr>
      <w:r>
        <w:rPr>
          <w:rStyle w:val="a6"/>
        </w:rPr>
        <w:footnoteRef/>
      </w:r>
      <w:r>
        <w:t xml:space="preserve"> </w:t>
      </w:r>
      <w:r w:rsidRPr="0086708D">
        <w:t>Информация о реализации подпрограммы является приложением № 1 к настоящему отчету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E20"/>
    <w:multiLevelType w:val="multilevel"/>
    <w:tmpl w:val="8D24495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05F69F2"/>
    <w:multiLevelType w:val="hybridMultilevel"/>
    <w:tmpl w:val="F3B863CE"/>
    <w:lvl w:ilvl="0" w:tplc="57E44E12">
      <w:start w:val="1"/>
      <w:numFmt w:val="decimal"/>
      <w:lvlText w:val="%1)"/>
      <w:lvlJc w:val="left"/>
      <w:pPr>
        <w:ind w:left="899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F3"/>
    <w:rsid w:val="00203FB3"/>
    <w:rsid w:val="00207C2B"/>
    <w:rsid w:val="00584C79"/>
    <w:rsid w:val="00746EF3"/>
    <w:rsid w:val="008E45D2"/>
    <w:rsid w:val="00AD49CA"/>
    <w:rsid w:val="00AF2B01"/>
    <w:rsid w:val="00C70266"/>
    <w:rsid w:val="00F12B92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C79"/>
    <w:pPr>
      <w:spacing w:after="0" w:line="240" w:lineRule="auto"/>
      <w:ind w:left="720" w:firstLine="539"/>
      <w:contextualSpacing/>
      <w:jc w:val="both"/>
    </w:pPr>
    <w:rPr>
      <w:rFonts w:ascii="Times New Roman" w:eastAsia="Cambria" w:hAnsi="Times New Roman" w:cs="Times New Roman"/>
      <w:kern w:val="2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84C79"/>
    <w:pPr>
      <w:spacing w:after="0" w:line="240" w:lineRule="auto"/>
      <w:ind w:firstLine="539"/>
      <w:jc w:val="both"/>
    </w:pPr>
    <w:rPr>
      <w:rFonts w:ascii="Times New Roman" w:eastAsia="Cambria" w:hAnsi="Times New Roman" w:cs="Times New Roman"/>
      <w:kern w:val="2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84C79"/>
    <w:rPr>
      <w:rFonts w:ascii="Times New Roman" w:eastAsia="Cambria" w:hAnsi="Times New Roman" w:cs="Times New Roman"/>
      <w:kern w:val="2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C79"/>
    <w:pPr>
      <w:spacing w:after="0" w:line="240" w:lineRule="auto"/>
      <w:ind w:left="720" w:firstLine="539"/>
      <w:contextualSpacing/>
      <w:jc w:val="both"/>
    </w:pPr>
    <w:rPr>
      <w:rFonts w:ascii="Times New Roman" w:eastAsia="Cambria" w:hAnsi="Times New Roman" w:cs="Times New Roman"/>
      <w:kern w:val="2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84C79"/>
    <w:pPr>
      <w:spacing w:after="0" w:line="240" w:lineRule="auto"/>
      <w:ind w:firstLine="539"/>
      <w:jc w:val="both"/>
    </w:pPr>
    <w:rPr>
      <w:rFonts w:ascii="Times New Roman" w:eastAsia="Cambria" w:hAnsi="Times New Roman" w:cs="Times New Roman"/>
      <w:kern w:val="2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84C79"/>
    <w:rPr>
      <w:rFonts w:ascii="Times New Roman" w:eastAsia="Cambria" w:hAnsi="Times New Roman" w:cs="Times New Roman"/>
      <w:kern w:val="2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3155</Words>
  <Characters>17987</Characters>
  <Application>Microsoft Office Word</Application>
  <DocSecurity>0</DocSecurity>
  <Lines>149</Lines>
  <Paragraphs>42</Paragraphs>
  <ScaleCrop>false</ScaleCrop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Yulai</dc:creator>
  <cp:keywords/>
  <dc:description/>
  <cp:lastModifiedBy>User</cp:lastModifiedBy>
  <cp:revision>6</cp:revision>
  <dcterms:created xsi:type="dcterms:W3CDTF">2016-03-01T09:07:00Z</dcterms:created>
  <dcterms:modified xsi:type="dcterms:W3CDTF">2016-03-03T05:39:00Z</dcterms:modified>
</cp:coreProperties>
</file>