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FE" w:rsidRPr="006D7B39" w:rsidRDefault="00FE1C88" w:rsidP="006D7B39">
      <w:pPr>
        <w:jc w:val="center"/>
        <w:rPr>
          <w:rFonts w:ascii="Times New Roman" w:hAnsi="Times New Roman" w:cs="Times New Roman"/>
          <w:b/>
          <w:sz w:val="28"/>
          <w:szCs w:val="28"/>
        </w:rPr>
      </w:pPr>
      <w:r w:rsidRPr="006D7B39">
        <w:rPr>
          <w:rFonts w:ascii="Times New Roman" w:hAnsi="Times New Roman" w:cs="Times New Roman"/>
          <w:b/>
          <w:sz w:val="28"/>
          <w:szCs w:val="28"/>
        </w:rPr>
        <w:t xml:space="preserve">Отчет о развитии вектора </w:t>
      </w:r>
      <w:r w:rsidR="00583557">
        <w:rPr>
          <w:rFonts w:ascii="Times New Roman" w:hAnsi="Times New Roman" w:cs="Times New Roman"/>
          <w:b/>
          <w:sz w:val="28"/>
          <w:szCs w:val="28"/>
        </w:rPr>
        <w:t>«</w:t>
      </w:r>
      <w:r w:rsidRPr="006D7B39">
        <w:rPr>
          <w:rFonts w:ascii="Times New Roman" w:hAnsi="Times New Roman" w:cs="Times New Roman"/>
          <w:b/>
          <w:sz w:val="28"/>
          <w:szCs w:val="28"/>
        </w:rPr>
        <w:t>Промышленность</w:t>
      </w:r>
      <w:r w:rsidR="00583557">
        <w:rPr>
          <w:rFonts w:ascii="Times New Roman" w:hAnsi="Times New Roman" w:cs="Times New Roman"/>
          <w:b/>
          <w:sz w:val="28"/>
          <w:szCs w:val="28"/>
        </w:rPr>
        <w:t>»</w:t>
      </w:r>
      <w:r w:rsidRPr="006D7B39">
        <w:rPr>
          <w:rFonts w:ascii="Times New Roman" w:hAnsi="Times New Roman" w:cs="Times New Roman"/>
          <w:b/>
          <w:sz w:val="28"/>
          <w:szCs w:val="28"/>
        </w:rPr>
        <w:t xml:space="preserve"> за 2015 год</w:t>
      </w:r>
    </w:p>
    <w:p w:rsidR="00FE1C88" w:rsidRPr="006D7B39" w:rsidRDefault="00FE1C88">
      <w:pPr>
        <w:rPr>
          <w:rFonts w:ascii="Times New Roman" w:hAnsi="Times New Roman" w:cs="Times New Roman"/>
          <w:sz w:val="28"/>
          <w:szCs w:val="28"/>
        </w:rPr>
      </w:pPr>
    </w:p>
    <w:p w:rsidR="00FE1C88" w:rsidRPr="006D7B39" w:rsidRDefault="00FE1C88" w:rsidP="006D7B39">
      <w:pPr>
        <w:jc w:val="both"/>
        <w:rPr>
          <w:rFonts w:ascii="Times New Roman" w:hAnsi="Times New Roman" w:cs="Times New Roman"/>
          <w:sz w:val="28"/>
          <w:szCs w:val="28"/>
        </w:rPr>
      </w:pPr>
      <w:r w:rsidRPr="006D7B39">
        <w:rPr>
          <w:rFonts w:ascii="Times New Roman" w:hAnsi="Times New Roman" w:cs="Times New Roman"/>
          <w:sz w:val="28"/>
          <w:szCs w:val="28"/>
        </w:rPr>
        <w:t>Стратегическая цель вектора – повышение эффективности промышленного производства путем диверсификации и применения инновационных технологий.</w:t>
      </w:r>
    </w:p>
    <w:p w:rsidR="00FE1C88" w:rsidRPr="006D7B39" w:rsidRDefault="00FE1C88" w:rsidP="006D7B39">
      <w:pPr>
        <w:jc w:val="both"/>
        <w:rPr>
          <w:rFonts w:ascii="Times New Roman" w:hAnsi="Times New Roman" w:cs="Times New Roman"/>
          <w:sz w:val="28"/>
          <w:szCs w:val="28"/>
        </w:rPr>
      </w:pPr>
      <w:r w:rsidRPr="006D7B39">
        <w:rPr>
          <w:rFonts w:ascii="Times New Roman" w:hAnsi="Times New Roman" w:cs="Times New Roman"/>
          <w:sz w:val="28"/>
          <w:szCs w:val="28"/>
        </w:rPr>
        <w:t>Основные задачи</w:t>
      </w:r>
      <w:r w:rsidRPr="006D7B39">
        <w:rPr>
          <w:rFonts w:ascii="Times New Roman" w:hAnsi="Times New Roman" w:cs="Times New Roman"/>
          <w:sz w:val="28"/>
          <w:szCs w:val="28"/>
          <w:lang w:val="en-US"/>
        </w:rPr>
        <w:t>:</w:t>
      </w:r>
    </w:p>
    <w:p w:rsidR="00FE1C88" w:rsidRPr="006D7B39" w:rsidRDefault="00FE1C88" w:rsidP="006D7B39">
      <w:pPr>
        <w:pStyle w:val="a3"/>
        <w:numPr>
          <w:ilvl w:val="0"/>
          <w:numId w:val="1"/>
        </w:numPr>
        <w:jc w:val="both"/>
        <w:rPr>
          <w:rFonts w:ascii="Times New Roman" w:hAnsi="Times New Roman" w:cs="Times New Roman"/>
          <w:sz w:val="28"/>
          <w:szCs w:val="28"/>
        </w:rPr>
      </w:pPr>
      <w:r w:rsidRPr="006D7B39">
        <w:rPr>
          <w:rFonts w:ascii="Times New Roman" w:hAnsi="Times New Roman" w:cs="Times New Roman"/>
          <w:sz w:val="28"/>
          <w:szCs w:val="28"/>
        </w:rPr>
        <w:t>Обеспечить диверсификацию и переход ресурсной экономики в инновационную фазу развития</w:t>
      </w:r>
      <w:r w:rsidRPr="008B4CED">
        <w:rPr>
          <w:rFonts w:ascii="Times New Roman" w:hAnsi="Times New Roman" w:cs="Times New Roman"/>
          <w:sz w:val="28"/>
          <w:szCs w:val="28"/>
        </w:rPr>
        <w:t>;</w:t>
      </w:r>
    </w:p>
    <w:p w:rsidR="00FE1C88" w:rsidRPr="006D7B39" w:rsidRDefault="00FE1C88" w:rsidP="006D7B39">
      <w:pPr>
        <w:pStyle w:val="a3"/>
        <w:numPr>
          <w:ilvl w:val="0"/>
          <w:numId w:val="1"/>
        </w:numPr>
        <w:jc w:val="both"/>
        <w:rPr>
          <w:rFonts w:ascii="Times New Roman" w:hAnsi="Times New Roman" w:cs="Times New Roman"/>
          <w:sz w:val="28"/>
          <w:szCs w:val="28"/>
        </w:rPr>
      </w:pPr>
      <w:r w:rsidRPr="006D7B39">
        <w:rPr>
          <w:rFonts w:ascii="Times New Roman" w:hAnsi="Times New Roman" w:cs="Times New Roman"/>
          <w:sz w:val="28"/>
          <w:szCs w:val="28"/>
        </w:rPr>
        <w:t>Обеспечить динамичный рост объемов промышленного производства, увеличение фондоотдачи используемых ресурсов</w:t>
      </w:r>
      <w:r w:rsidRPr="008B4CED">
        <w:rPr>
          <w:rFonts w:ascii="Times New Roman" w:hAnsi="Times New Roman" w:cs="Times New Roman"/>
          <w:sz w:val="28"/>
          <w:szCs w:val="28"/>
        </w:rPr>
        <w:t>;</w:t>
      </w:r>
    </w:p>
    <w:p w:rsidR="00FE1C88" w:rsidRPr="006D7B39" w:rsidRDefault="00FE1C88" w:rsidP="006D7B39">
      <w:pPr>
        <w:pStyle w:val="a3"/>
        <w:numPr>
          <w:ilvl w:val="0"/>
          <w:numId w:val="1"/>
        </w:numPr>
        <w:jc w:val="both"/>
        <w:rPr>
          <w:rFonts w:ascii="Times New Roman" w:hAnsi="Times New Roman" w:cs="Times New Roman"/>
          <w:sz w:val="28"/>
          <w:szCs w:val="28"/>
        </w:rPr>
      </w:pPr>
      <w:r w:rsidRPr="006D7B39">
        <w:rPr>
          <w:rFonts w:ascii="Times New Roman" w:hAnsi="Times New Roman" w:cs="Times New Roman"/>
          <w:sz w:val="28"/>
          <w:szCs w:val="28"/>
        </w:rPr>
        <w:t>Повысить производительность труда</w:t>
      </w:r>
      <w:r w:rsidRPr="006D7B39">
        <w:rPr>
          <w:rFonts w:ascii="Times New Roman" w:hAnsi="Times New Roman" w:cs="Times New Roman"/>
          <w:sz w:val="28"/>
          <w:szCs w:val="28"/>
          <w:lang w:val="en-US"/>
        </w:rPr>
        <w:t>;</w:t>
      </w:r>
    </w:p>
    <w:p w:rsidR="00FE1C88" w:rsidRPr="006D7B39" w:rsidRDefault="00FE1C88" w:rsidP="006D7B39">
      <w:pPr>
        <w:pStyle w:val="a3"/>
        <w:numPr>
          <w:ilvl w:val="0"/>
          <w:numId w:val="1"/>
        </w:numPr>
        <w:jc w:val="both"/>
        <w:rPr>
          <w:rFonts w:ascii="Times New Roman" w:hAnsi="Times New Roman" w:cs="Times New Roman"/>
          <w:sz w:val="28"/>
          <w:szCs w:val="28"/>
        </w:rPr>
      </w:pPr>
      <w:r w:rsidRPr="006D7B39">
        <w:rPr>
          <w:rFonts w:ascii="Times New Roman" w:hAnsi="Times New Roman" w:cs="Times New Roman"/>
          <w:sz w:val="28"/>
          <w:szCs w:val="28"/>
        </w:rPr>
        <w:t>Обеспечить безопасность производства и соответствующие условия энергоэффективных технологий производства.</w:t>
      </w:r>
    </w:p>
    <w:p w:rsidR="00FE1C88" w:rsidRPr="006D7B39" w:rsidRDefault="00FE1C88" w:rsidP="006D7B39">
      <w:pPr>
        <w:pStyle w:val="a3"/>
        <w:jc w:val="both"/>
        <w:rPr>
          <w:rFonts w:ascii="Times New Roman" w:hAnsi="Times New Roman" w:cs="Times New Roman"/>
          <w:sz w:val="28"/>
          <w:szCs w:val="28"/>
        </w:rPr>
      </w:pPr>
    </w:p>
    <w:p w:rsidR="00FE1C88" w:rsidRPr="006D7B39" w:rsidRDefault="00FE1C88" w:rsidP="00583557">
      <w:pPr>
        <w:spacing w:after="0" w:line="240" w:lineRule="auto"/>
        <w:ind w:firstLine="567"/>
        <w:jc w:val="both"/>
        <w:rPr>
          <w:rFonts w:ascii="Times New Roman" w:hAnsi="Times New Roman" w:cs="Times New Roman"/>
          <w:sz w:val="28"/>
          <w:szCs w:val="28"/>
        </w:rPr>
      </w:pPr>
      <w:r w:rsidRPr="006D7B39">
        <w:rPr>
          <w:rFonts w:ascii="Times New Roman" w:hAnsi="Times New Roman" w:cs="Times New Roman"/>
          <w:sz w:val="28"/>
          <w:szCs w:val="28"/>
        </w:rPr>
        <w:t>Стратегия социально-экономического развития Ханты-Мансийского автономного округа – Югры до 2020 года и на период до 2030 года (далее – Стратегия Югры - 2030) к наиболее приоритетным сферам развития промышленности Сургута отнесены следующие</w:t>
      </w:r>
      <w:r w:rsidRPr="008B4CED">
        <w:rPr>
          <w:rFonts w:ascii="Times New Roman" w:hAnsi="Times New Roman" w:cs="Times New Roman"/>
          <w:sz w:val="28"/>
          <w:szCs w:val="28"/>
        </w:rPr>
        <w:t>:</w:t>
      </w:r>
    </w:p>
    <w:p w:rsidR="00FE1C88" w:rsidRPr="006D7B39" w:rsidRDefault="006D7B39" w:rsidP="005835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FE1C88" w:rsidRPr="006D7B39">
        <w:rPr>
          <w:rFonts w:ascii="Times New Roman" w:hAnsi="Times New Roman" w:cs="Times New Roman"/>
          <w:sz w:val="28"/>
          <w:szCs w:val="28"/>
        </w:rPr>
        <w:t>изменение пространственной организации нефтяной и газовой промышленности, образование головных офисов или представительств крупных компаний, центров НИОКР, нефтесервисных компаний, центров подготовки кадров, транспортно-логистических предприятий</w:t>
      </w:r>
      <w:r w:rsidR="00FE1C88" w:rsidRPr="008B4CED">
        <w:rPr>
          <w:rFonts w:ascii="Times New Roman" w:hAnsi="Times New Roman" w:cs="Times New Roman"/>
          <w:sz w:val="28"/>
          <w:szCs w:val="28"/>
        </w:rPr>
        <w:t>;</w:t>
      </w:r>
    </w:p>
    <w:p w:rsidR="00FE1C88" w:rsidRPr="008B4CED" w:rsidRDefault="00FE1C88" w:rsidP="00583557">
      <w:pPr>
        <w:spacing w:after="0" w:line="240" w:lineRule="auto"/>
        <w:ind w:firstLine="567"/>
        <w:jc w:val="both"/>
        <w:rPr>
          <w:rFonts w:ascii="Times New Roman" w:hAnsi="Times New Roman" w:cs="Times New Roman"/>
          <w:sz w:val="28"/>
          <w:szCs w:val="28"/>
        </w:rPr>
      </w:pPr>
      <w:r w:rsidRPr="006D7B39">
        <w:rPr>
          <w:rFonts w:ascii="Times New Roman" w:hAnsi="Times New Roman" w:cs="Times New Roman"/>
          <w:sz w:val="28"/>
          <w:szCs w:val="28"/>
        </w:rPr>
        <w:t>- создание научно-исследовательского центра и инфраструктуры подготовки кадров, работающих на региональный рынок</w:t>
      </w:r>
      <w:r w:rsidRPr="008B4CED">
        <w:rPr>
          <w:rFonts w:ascii="Times New Roman" w:hAnsi="Times New Roman" w:cs="Times New Roman"/>
          <w:sz w:val="28"/>
          <w:szCs w:val="28"/>
        </w:rPr>
        <w:t>;</w:t>
      </w:r>
    </w:p>
    <w:p w:rsidR="00FE1C88" w:rsidRPr="006D7B39" w:rsidRDefault="006D7B39" w:rsidP="005835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D7B39">
        <w:rPr>
          <w:rFonts w:ascii="Times New Roman" w:hAnsi="Times New Roman" w:cs="Times New Roman"/>
          <w:sz w:val="28"/>
          <w:szCs w:val="28"/>
        </w:rPr>
        <w:t>развитие сферы совершенствования процессов нефтегазодобычи, включая все элементы технологической цепочки;</w:t>
      </w:r>
    </w:p>
    <w:p w:rsidR="00FE1C88" w:rsidRPr="006D7B39" w:rsidRDefault="00FE1C88" w:rsidP="00583557">
      <w:pPr>
        <w:widowControl w:val="0"/>
        <w:tabs>
          <w:tab w:val="left" w:pos="1134"/>
        </w:tabs>
        <w:spacing w:after="0" w:line="240" w:lineRule="auto"/>
        <w:ind w:firstLine="567"/>
        <w:jc w:val="both"/>
        <w:rPr>
          <w:rFonts w:ascii="Times New Roman" w:hAnsi="Times New Roman" w:cs="Times New Roman"/>
          <w:sz w:val="28"/>
          <w:szCs w:val="28"/>
        </w:rPr>
      </w:pPr>
      <w:r w:rsidRPr="006D7B39">
        <w:rPr>
          <w:rFonts w:ascii="Times New Roman" w:hAnsi="Times New Roman" w:cs="Times New Roman"/>
          <w:sz w:val="28"/>
          <w:szCs w:val="28"/>
        </w:rPr>
        <w:t>- создание Индустриального парка;</w:t>
      </w:r>
    </w:p>
    <w:p w:rsidR="00FE1C88" w:rsidRPr="006D7B39" w:rsidRDefault="00FE1C88" w:rsidP="00583557">
      <w:pPr>
        <w:widowControl w:val="0"/>
        <w:tabs>
          <w:tab w:val="left" w:pos="1134"/>
        </w:tabs>
        <w:spacing w:after="0" w:line="240" w:lineRule="auto"/>
        <w:ind w:firstLine="567"/>
        <w:jc w:val="both"/>
        <w:rPr>
          <w:rFonts w:ascii="Times New Roman" w:hAnsi="Times New Roman" w:cs="Times New Roman"/>
          <w:sz w:val="28"/>
          <w:szCs w:val="28"/>
        </w:rPr>
      </w:pPr>
      <w:r w:rsidRPr="006D7B39">
        <w:rPr>
          <w:rFonts w:ascii="Times New Roman" w:hAnsi="Times New Roman" w:cs="Times New Roman"/>
          <w:sz w:val="28"/>
          <w:szCs w:val="28"/>
        </w:rPr>
        <w:t>- развитие малого и среднего бизнеса.</w:t>
      </w:r>
    </w:p>
    <w:p w:rsidR="00FE1C88" w:rsidRPr="0085143F" w:rsidRDefault="00FE1C88" w:rsidP="00FE1C88">
      <w:pPr>
        <w:pStyle w:val="a4"/>
        <w:ind w:firstLine="567"/>
        <w:rPr>
          <w:sz w:val="28"/>
          <w:szCs w:val="28"/>
        </w:rPr>
      </w:pPr>
      <w:r w:rsidRPr="0085143F">
        <w:rPr>
          <w:sz w:val="28"/>
          <w:szCs w:val="28"/>
        </w:rPr>
        <w:t xml:space="preserve">Для достижения указанных задач необходимо предпринять меры, способствующие повышению эффективности производственных предприятий Сургута, их технологического уровня и результативности бизнес-процессов. Данные меры должны стимулировать как процессы модернизации действующих предприятий, так и способствовать созданию и развитию новых. </w:t>
      </w:r>
    </w:p>
    <w:p w:rsidR="00FE1C88" w:rsidRPr="0085143F" w:rsidRDefault="00FE1C88" w:rsidP="00FE1C88">
      <w:pPr>
        <w:pStyle w:val="a4"/>
        <w:ind w:firstLine="567"/>
        <w:rPr>
          <w:sz w:val="28"/>
          <w:szCs w:val="28"/>
        </w:rPr>
      </w:pPr>
      <w:r w:rsidRPr="0085143F">
        <w:rPr>
          <w:sz w:val="28"/>
          <w:szCs w:val="28"/>
        </w:rPr>
        <w:t xml:space="preserve">Диверсификация экономики и переход в инновационную фазу развития требует создания условий и механизмов для привлечения и развития талантов, обеспечения технологической кооперации ведущих исследовательских и инженерных центров с наиболее развитыми промышленными компаниями региона и страны в целом, создания возможностей для перетекания людей и компетенций в сектора, не связанные </w:t>
      </w:r>
      <w:r w:rsidRPr="0085143F">
        <w:rPr>
          <w:sz w:val="28"/>
          <w:szCs w:val="28"/>
        </w:rPr>
        <w:lastRenderedPageBreak/>
        <w:t>с топливно-энергетическим комплексом (включая авиа-, приборостроения, пищевой и легкой промышленности и прочие).</w:t>
      </w:r>
    </w:p>
    <w:p w:rsidR="00FE1C88" w:rsidRPr="008B4CED" w:rsidRDefault="00FE1C88" w:rsidP="00FE1C88">
      <w:pPr>
        <w:ind w:firstLine="567"/>
        <w:rPr>
          <w:rFonts w:ascii="Times New Roman" w:eastAsia="Cambria" w:hAnsi="Times New Roman" w:cs="Times New Roman"/>
          <w:kern w:val="20"/>
          <w:sz w:val="28"/>
          <w:szCs w:val="28"/>
          <w:lang w:eastAsia="ru-RU"/>
        </w:rPr>
      </w:pPr>
      <w:r w:rsidRPr="008B4CED">
        <w:rPr>
          <w:rFonts w:ascii="Times New Roman" w:eastAsia="Cambria" w:hAnsi="Times New Roman" w:cs="Times New Roman"/>
          <w:kern w:val="20"/>
          <w:sz w:val="28"/>
          <w:szCs w:val="28"/>
          <w:lang w:eastAsia="ru-RU"/>
        </w:rPr>
        <w:t xml:space="preserve">Объём отгруженных товаров собственного производства, выполненных работ и услуг собственными силами по крупным и средним производителям промышленной продукции на 2015 год планировался в размере 110 347 млн. рублей. Фактический объём производства промышленной продукции составил 390 293 млн. рублей. Рост, в основном, обусловлен включением в статистическую отчётность по муниципальному образованию вида экономической деятельности «Производство кокса и нефтепродуктов» в соответствии с действующей методологией Росстата. </w:t>
      </w:r>
    </w:p>
    <w:p w:rsidR="00FE1C88" w:rsidRPr="008B4CED" w:rsidRDefault="00FE1C88" w:rsidP="00FE1C88">
      <w:pPr>
        <w:ind w:firstLine="567"/>
        <w:rPr>
          <w:rFonts w:ascii="Times New Roman" w:eastAsia="Cambria" w:hAnsi="Times New Roman" w:cs="Times New Roman"/>
          <w:kern w:val="20"/>
          <w:sz w:val="28"/>
          <w:szCs w:val="28"/>
          <w:lang w:eastAsia="ru-RU"/>
        </w:rPr>
      </w:pPr>
      <w:r w:rsidRPr="008B4CED">
        <w:rPr>
          <w:rFonts w:ascii="Times New Roman" w:eastAsia="Cambria" w:hAnsi="Times New Roman" w:cs="Times New Roman"/>
          <w:kern w:val="20"/>
          <w:sz w:val="28"/>
          <w:szCs w:val="28"/>
          <w:lang w:eastAsia="ru-RU"/>
        </w:rPr>
        <w:t xml:space="preserve">Увеличение объёмов промышленной продукции оказало влияние на соотношение объёмов сферы услуг и производства и за отчетный период составило 46,9 %, при плане на 2015 год – 202,9 %.  </w:t>
      </w:r>
    </w:p>
    <w:p w:rsidR="00FE1C88" w:rsidRPr="008B4CED" w:rsidRDefault="00FE1C88" w:rsidP="00FE1C88">
      <w:pPr>
        <w:ind w:firstLine="567"/>
        <w:rPr>
          <w:rFonts w:ascii="Times New Roman" w:eastAsia="Cambria" w:hAnsi="Times New Roman" w:cs="Times New Roman"/>
          <w:kern w:val="20"/>
          <w:sz w:val="28"/>
          <w:szCs w:val="28"/>
          <w:lang w:eastAsia="ru-RU"/>
        </w:rPr>
      </w:pPr>
      <w:r w:rsidRPr="008B4CED">
        <w:rPr>
          <w:rFonts w:ascii="Times New Roman" w:eastAsia="Cambria" w:hAnsi="Times New Roman" w:cs="Times New Roman"/>
          <w:kern w:val="20"/>
          <w:sz w:val="28"/>
          <w:szCs w:val="28"/>
          <w:lang w:eastAsia="ru-RU"/>
        </w:rPr>
        <w:t>Структура отгруженного продукта промышленных производств за отчетный год в разрезе видов экономической деятельности:</w:t>
      </w:r>
    </w:p>
    <w:p w:rsidR="00FE1C88" w:rsidRPr="008B4CED" w:rsidRDefault="00FE1C88" w:rsidP="00FE1C88">
      <w:pPr>
        <w:pStyle w:val="a3"/>
        <w:numPr>
          <w:ilvl w:val="0"/>
          <w:numId w:val="5"/>
        </w:numPr>
        <w:spacing w:after="0" w:line="240" w:lineRule="auto"/>
        <w:ind w:left="851"/>
        <w:jc w:val="both"/>
        <w:rPr>
          <w:rFonts w:ascii="Times New Roman" w:hAnsi="Times New Roman" w:cs="Times New Roman"/>
          <w:sz w:val="28"/>
          <w:szCs w:val="28"/>
        </w:rPr>
      </w:pPr>
      <w:r w:rsidRPr="008B4CED">
        <w:rPr>
          <w:rFonts w:ascii="Times New Roman" w:hAnsi="Times New Roman" w:cs="Times New Roman"/>
          <w:sz w:val="28"/>
          <w:szCs w:val="28"/>
        </w:rPr>
        <w:t>добыча полезных ископаемых – 1,2 %,</w:t>
      </w:r>
    </w:p>
    <w:p w:rsidR="00FE1C88" w:rsidRPr="008B4CED" w:rsidRDefault="00FE1C88" w:rsidP="00FE1C88">
      <w:pPr>
        <w:pStyle w:val="a3"/>
        <w:numPr>
          <w:ilvl w:val="0"/>
          <w:numId w:val="5"/>
        </w:numPr>
        <w:spacing w:after="0" w:line="240" w:lineRule="auto"/>
        <w:ind w:left="851"/>
        <w:jc w:val="both"/>
        <w:rPr>
          <w:rFonts w:ascii="Times New Roman" w:hAnsi="Times New Roman" w:cs="Times New Roman"/>
          <w:sz w:val="28"/>
          <w:szCs w:val="28"/>
        </w:rPr>
      </w:pPr>
      <w:r w:rsidRPr="008B4CED">
        <w:rPr>
          <w:rFonts w:ascii="Times New Roman" w:hAnsi="Times New Roman" w:cs="Times New Roman"/>
          <w:sz w:val="28"/>
          <w:szCs w:val="28"/>
        </w:rPr>
        <w:t xml:space="preserve">обрабатывающие производства – 78,1 %, </w:t>
      </w:r>
    </w:p>
    <w:p w:rsidR="00FE1C88" w:rsidRPr="008B4CED" w:rsidRDefault="00FE1C88" w:rsidP="00FE1C88">
      <w:pPr>
        <w:pStyle w:val="a3"/>
        <w:numPr>
          <w:ilvl w:val="0"/>
          <w:numId w:val="5"/>
        </w:numPr>
        <w:spacing w:after="0" w:line="240" w:lineRule="auto"/>
        <w:ind w:left="851"/>
        <w:jc w:val="both"/>
        <w:rPr>
          <w:rFonts w:ascii="Times New Roman" w:hAnsi="Times New Roman" w:cs="Times New Roman"/>
          <w:sz w:val="28"/>
          <w:szCs w:val="28"/>
        </w:rPr>
      </w:pPr>
      <w:r w:rsidRPr="008B4CED">
        <w:rPr>
          <w:rFonts w:ascii="Times New Roman" w:hAnsi="Times New Roman" w:cs="Times New Roman"/>
          <w:sz w:val="28"/>
          <w:szCs w:val="28"/>
        </w:rPr>
        <w:t>производство и распределение электроэнергии, газа и воды – 20,7 %.</w:t>
      </w:r>
    </w:p>
    <w:p w:rsidR="00FE1C88" w:rsidRPr="008B4CED" w:rsidRDefault="00FE1C88" w:rsidP="00FE1C88">
      <w:pPr>
        <w:ind w:firstLine="567"/>
        <w:rPr>
          <w:rFonts w:ascii="Times New Roman" w:hAnsi="Times New Roman" w:cs="Times New Roman"/>
          <w:sz w:val="28"/>
          <w:szCs w:val="28"/>
        </w:rPr>
      </w:pPr>
      <w:r w:rsidRPr="008B4CED">
        <w:rPr>
          <w:rFonts w:ascii="Times New Roman" w:hAnsi="Times New Roman" w:cs="Times New Roman"/>
          <w:sz w:val="28"/>
          <w:szCs w:val="28"/>
        </w:rPr>
        <w:t xml:space="preserve">Основными производителями промышленной продукции являются: </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t>открытое акционерное общество «Сургутнефтегаз»;</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t>общество с ограниченной ответственностью «Газпром переработка»;</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t>акционерное общество энергетики и электрификации «Тюменьэнерго»;</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bCs/>
          <w:sz w:val="28"/>
          <w:szCs w:val="28"/>
        </w:rPr>
      </w:pPr>
      <w:r w:rsidRPr="008B4CED">
        <w:rPr>
          <w:rFonts w:ascii="Times New Roman" w:hAnsi="Times New Roman" w:cs="Times New Roman"/>
          <w:sz w:val="28"/>
          <w:szCs w:val="28"/>
        </w:rPr>
        <w:t>ф</w:t>
      </w:r>
      <w:r w:rsidRPr="008B4CED">
        <w:rPr>
          <w:rFonts w:ascii="Times New Roman" w:hAnsi="Times New Roman" w:cs="Times New Roman"/>
          <w:bCs/>
          <w:sz w:val="28"/>
          <w:szCs w:val="28"/>
        </w:rPr>
        <w:t>илиал публичного акционерного общества «ОГК-2» «Сургутская ГРЭС-1»;</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bCs/>
          <w:spacing w:val="-6"/>
          <w:sz w:val="28"/>
          <w:szCs w:val="28"/>
        </w:rPr>
      </w:pPr>
      <w:r w:rsidRPr="008B4CED">
        <w:rPr>
          <w:rFonts w:ascii="Times New Roman" w:hAnsi="Times New Roman" w:cs="Times New Roman"/>
          <w:bCs/>
          <w:spacing w:val="-6"/>
          <w:sz w:val="28"/>
          <w:szCs w:val="28"/>
        </w:rPr>
        <w:t>филиал открытого акционерного общества «Э.ОН Россия» «Сургутская ГРЭС-2»;</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bCs/>
          <w:sz w:val="28"/>
          <w:szCs w:val="28"/>
        </w:rPr>
      </w:pPr>
      <w:r w:rsidRPr="008B4CED">
        <w:rPr>
          <w:rFonts w:ascii="Times New Roman" w:hAnsi="Times New Roman" w:cs="Times New Roman"/>
          <w:bCs/>
          <w:sz w:val="28"/>
          <w:szCs w:val="28"/>
        </w:rPr>
        <w:t>сургутское городское муниципальное унитарное предприятие «Городские тепловые сети»;</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bCs/>
          <w:sz w:val="28"/>
          <w:szCs w:val="28"/>
        </w:rPr>
      </w:pPr>
      <w:r w:rsidRPr="008B4CED">
        <w:rPr>
          <w:rFonts w:ascii="Times New Roman" w:hAnsi="Times New Roman" w:cs="Times New Roman"/>
          <w:bCs/>
          <w:sz w:val="28"/>
          <w:szCs w:val="28"/>
        </w:rPr>
        <w:t xml:space="preserve">сургутское городское муниципальное унитарное предприятие «Горводоканал»; </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bCs/>
          <w:sz w:val="28"/>
          <w:szCs w:val="28"/>
        </w:rPr>
      </w:pPr>
      <w:r w:rsidRPr="008B4CED">
        <w:rPr>
          <w:rFonts w:ascii="Times New Roman" w:hAnsi="Times New Roman" w:cs="Times New Roman"/>
          <w:bCs/>
          <w:sz w:val="28"/>
          <w:szCs w:val="28"/>
        </w:rPr>
        <w:t>сургутское городское муниципальное унитарное энергетическое предприятие «</w:t>
      </w:r>
      <w:proofErr w:type="spellStart"/>
      <w:r w:rsidRPr="008B4CED">
        <w:rPr>
          <w:rFonts w:ascii="Times New Roman" w:hAnsi="Times New Roman" w:cs="Times New Roman"/>
          <w:bCs/>
          <w:sz w:val="28"/>
          <w:szCs w:val="28"/>
        </w:rPr>
        <w:t>Горсвет</w:t>
      </w:r>
      <w:proofErr w:type="spellEnd"/>
      <w:r w:rsidRPr="008B4CED">
        <w:rPr>
          <w:rFonts w:ascii="Times New Roman" w:hAnsi="Times New Roman" w:cs="Times New Roman"/>
          <w:bCs/>
          <w:sz w:val="28"/>
          <w:szCs w:val="28"/>
        </w:rPr>
        <w:t xml:space="preserve">»; </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bCs/>
          <w:sz w:val="28"/>
          <w:szCs w:val="28"/>
        </w:rPr>
      </w:pPr>
      <w:r w:rsidRPr="008B4CED">
        <w:rPr>
          <w:rFonts w:ascii="Times New Roman" w:hAnsi="Times New Roman" w:cs="Times New Roman"/>
          <w:bCs/>
          <w:sz w:val="28"/>
          <w:szCs w:val="28"/>
        </w:rPr>
        <w:t>сургутское городское муниципальное унитарное предприятие «Тепловик»;</w:t>
      </w:r>
    </w:p>
    <w:p w:rsidR="00FE1C88" w:rsidRPr="008B4CED" w:rsidRDefault="00FE1C88" w:rsidP="00FE1C88">
      <w:pPr>
        <w:pStyle w:val="a3"/>
        <w:numPr>
          <w:ilvl w:val="0"/>
          <w:numId w:val="6"/>
        </w:numPr>
        <w:tabs>
          <w:tab w:val="left" w:pos="709"/>
          <w:tab w:val="left" w:pos="851"/>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t>сургутское городское муниципальное унитарное предприятие «Сургутский хлебозавод»;</w:t>
      </w:r>
    </w:p>
    <w:p w:rsidR="00FE1C88" w:rsidRPr="008B4CED" w:rsidRDefault="00FE1C88" w:rsidP="00FE1C88">
      <w:pPr>
        <w:pStyle w:val="a3"/>
        <w:numPr>
          <w:ilvl w:val="0"/>
          <w:numId w:val="6"/>
        </w:numPr>
        <w:tabs>
          <w:tab w:val="left" w:pos="709"/>
          <w:tab w:val="left" w:pos="851"/>
          <w:tab w:val="left" w:pos="993"/>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t>общество с ограниченной ответственностью «Мясокомбинат «Сургутский»;</w:t>
      </w:r>
    </w:p>
    <w:p w:rsidR="00FE1C88" w:rsidRPr="008B4CED" w:rsidRDefault="00FE1C88" w:rsidP="00FE1C88">
      <w:pPr>
        <w:pStyle w:val="a3"/>
        <w:numPr>
          <w:ilvl w:val="0"/>
          <w:numId w:val="6"/>
        </w:numPr>
        <w:tabs>
          <w:tab w:val="left" w:pos="709"/>
          <w:tab w:val="left" w:pos="851"/>
          <w:tab w:val="left" w:pos="993"/>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t>общество с ограниченной ответственностью «Югорский мясокомбинат»;</w:t>
      </w:r>
    </w:p>
    <w:p w:rsidR="00FE1C88" w:rsidRPr="008B4CED" w:rsidRDefault="00FE1C88" w:rsidP="00FE1C88">
      <w:pPr>
        <w:pStyle w:val="a3"/>
        <w:numPr>
          <w:ilvl w:val="0"/>
          <w:numId w:val="6"/>
        </w:numPr>
        <w:tabs>
          <w:tab w:val="left" w:pos="709"/>
          <w:tab w:val="left" w:pos="851"/>
          <w:tab w:val="left" w:pos="993"/>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lastRenderedPageBreak/>
        <w:t>открытое акционерное общество «Завод промышленных строительных деталей»;</w:t>
      </w:r>
    </w:p>
    <w:p w:rsidR="00FE1C88" w:rsidRPr="008B4CED" w:rsidRDefault="00FE1C88" w:rsidP="00FE1C88">
      <w:pPr>
        <w:pStyle w:val="a3"/>
        <w:numPr>
          <w:ilvl w:val="0"/>
          <w:numId w:val="6"/>
        </w:numPr>
        <w:tabs>
          <w:tab w:val="left" w:pos="709"/>
          <w:tab w:val="left" w:pos="851"/>
          <w:tab w:val="left" w:pos="993"/>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t>открытое акционерное общество «Завод железобетонных изделий»;</w:t>
      </w:r>
    </w:p>
    <w:p w:rsidR="00FE1C88" w:rsidRPr="008B4CED" w:rsidRDefault="00FE1C88" w:rsidP="00FE1C88">
      <w:pPr>
        <w:pStyle w:val="a3"/>
        <w:numPr>
          <w:ilvl w:val="0"/>
          <w:numId w:val="6"/>
        </w:numPr>
        <w:tabs>
          <w:tab w:val="left" w:pos="709"/>
          <w:tab w:val="left" w:pos="851"/>
          <w:tab w:val="left" w:pos="993"/>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t xml:space="preserve">общество с ограниченной ответственностью «Новости </w:t>
      </w:r>
      <w:proofErr w:type="gramStart"/>
      <w:r w:rsidRPr="008B4CED">
        <w:rPr>
          <w:rFonts w:ascii="Times New Roman" w:hAnsi="Times New Roman" w:cs="Times New Roman"/>
          <w:sz w:val="28"/>
          <w:szCs w:val="28"/>
        </w:rPr>
        <w:t>Югры-Производство</w:t>
      </w:r>
      <w:proofErr w:type="gramEnd"/>
      <w:r w:rsidRPr="008B4CED">
        <w:rPr>
          <w:rFonts w:ascii="Times New Roman" w:hAnsi="Times New Roman" w:cs="Times New Roman"/>
          <w:sz w:val="28"/>
          <w:szCs w:val="28"/>
        </w:rPr>
        <w:t>»</w:t>
      </w:r>
    </w:p>
    <w:p w:rsidR="00FE1C88" w:rsidRPr="008B4CED" w:rsidRDefault="00FE1C88" w:rsidP="00FE1C88">
      <w:pPr>
        <w:pStyle w:val="a3"/>
        <w:numPr>
          <w:ilvl w:val="0"/>
          <w:numId w:val="6"/>
        </w:numPr>
        <w:tabs>
          <w:tab w:val="left" w:pos="709"/>
          <w:tab w:val="left" w:pos="851"/>
          <w:tab w:val="left" w:pos="993"/>
          <w:tab w:val="left" w:pos="1134"/>
        </w:tabs>
        <w:spacing w:after="0" w:line="240" w:lineRule="auto"/>
        <w:ind w:left="0" w:firstLine="491"/>
        <w:jc w:val="both"/>
        <w:rPr>
          <w:rFonts w:ascii="Times New Roman" w:hAnsi="Times New Roman" w:cs="Times New Roman"/>
          <w:sz w:val="28"/>
          <w:szCs w:val="28"/>
        </w:rPr>
      </w:pPr>
      <w:r w:rsidRPr="008B4CED">
        <w:rPr>
          <w:rFonts w:ascii="Times New Roman" w:hAnsi="Times New Roman" w:cs="Times New Roman"/>
          <w:sz w:val="28"/>
          <w:szCs w:val="28"/>
        </w:rPr>
        <w:t>предприятия по ремонту и обслуживанию энергопроизводств, лифтового хозяйства.</w:t>
      </w:r>
    </w:p>
    <w:p w:rsidR="00FE1C88" w:rsidRPr="008B4CED" w:rsidRDefault="00FE1C88" w:rsidP="00FE1C88">
      <w:pPr>
        <w:ind w:firstLine="567"/>
        <w:rPr>
          <w:rFonts w:ascii="Times New Roman" w:hAnsi="Times New Roman" w:cs="Times New Roman"/>
          <w:sz w:val="28"/>
          <w:szCs w:val="28"/>
        </w:rPr>
      </w:pPr>
      <w:r w:rsidRPr="008B4CED">
        <w:rPr>
          <w:rFonts w:ascii="Times New Roman" w:hAnsi="Times New Roman" w:cs="Times New Roman"/>
          <w:sz w:val="28"/>
          <w:szCs w:val="28"/>
        </w:rPr>
        <w:t>Системообразующим предприятием топливно-энергетического комплекса добыча нефти составила 61,6 млн. тонн, что на 3 % больше по сравнению с плановым значением показателя. План по производству топлива, вырабатываемом на Сургутском заводе стабилизации конденсата, полностью выполнен.</w:t>
      </w:r>
    </w:p>
    <w:p w:rsidR="00FE1C88" w:rsidRPr="008B4CED" w:rsidRDefault="00FE1C88" w:rsidP="00FE1C88">
      <w:pPr>
        <w:ind w:firstLine="567"/>
        <w:rPr>
          <w:rFonts w:ascii="Times New Roman" w:hAnsi="Times New Roman" w:cs="Times New Roman"/>
          <w:sz w:val="28"/>
          <w:szCs w:val="28"/>
        </w:rPr>
      </w:pPr>
      <w:r w:rsidRPr="008B4CED">
        <w:rPr>
          <w:rFonts w:ascii="Times New Roman" w:hAnsi="Times New Roman" w:cs="Times New Roman"/>
          <w:sz w:val="28"/>
          <w:szCs w:val="28"/>
        </w:rPr>
        <w:t>Предприятиями энергетической отрасли за отчётный год произведено:</w:t>
      </w:r>
    </w:p>
    <w:p w:rsidR="00FE1C88" w:rsidRPr="008B4CED" w:rsidRDefault="00FE1C88" w:rsidP="00FE1C88">
      <w:pPr>
        <w:pStyle w:val="a3"/>
        <w:numPr>
          <w:ilvl w:val="0"/>
          <w:numId w:val="7"/>
        </w:numPr>
        <w:spacing w:after="0" w:line="240" w:lineRule="auto"/>
        <w:ind w:left="993"/>
        <w:jc w:val="both"/>
        <w:rPr>
          <w:rFonts w:ascii="Times New Roman" w:hAnsi="Times New Roman" w:cs="Times New Roman"/>
          <w:sz w:val="28"/>
          <w:szCs w:val="28"/>
        </w:rPr>
      </w:pPr>
      <w:r w:rsidRPr="008B4CED">
        <w:rPr>
          <w:rFonts w:ascii="Times New Roman" w:hAnsi="Times New Roman" w:cs="Times New Roman"/>
          <w:sz w:val="28"/>
          <w:szCs w:val="28"/>
        </w:rPr>
        <w:t xml:space="preserve">электроэнергии – 53,7 млрд. кВт-час, что на 11 % меньше, чем по плану на 2015 год; </w:t>
      </w:r>
    </w:p>
    <w:p w:rsidR="00FE1C88" w:rsidRPr="008B4CED" w:rsidRDefault="00FE1C88" w:rsidP="00FE1C88">
      <w:pPr>
        <w:pStyle w:val="a3"/>
        <w:numPr>
          <w:ilvl w:val="0"/>
          <w:numId w:val="7"/>
        </w:numPr>
        <w:spacing w:after="0" w:line="240" w:lineRule="auto"/>
        <w:ind w:left="993"/>
        <w:jc w:val="both"/>
        <w:rPr>
          <w:rFonts w:ascii="Times New Roman" w:hAnsi="Times New Roman" w:cs="Times New Roman"/>
          <w:sz w:val="28"/>
          <w:szCs w:val="28"/>
        </w:rPr>
      </w:pPr>
      <w:r w:rsidRPr="008B4CED">
        <w:rPr>
          <w:rFonts w:ascii="Times New Roman" w:hAnsi="Times New Roman" w:cs="Times New Roman"/>
          <w:sz w:val="28"/>
          <w:szCs w:val="28"/>
        </w:rPr>
        <w:t xml:space="preserve">теплоэнергии – 3,6 млн. Гкал, что на 3% больше, чем по плану на 2015 год. </w:t>
      </w:r>
    </w:p>
    <w:p w:rsidR="00FE1C88" w:rsidRPr="008B4CED" w:rsidRDefault="00FE1C88" w:rsidP="00FE1C88">
      <w:pPr>
        <w:ind w:firstLine="567"/>
        <w:rPr>
          <w:rFonts w:ascii="Times New Roman" w:hAnsi="Times New Roman" w:cs="Times New Roman"/>
          <w:sz w:val="28"/>
          <w:szCs w:val="28"/>
        </w:rPr>
      </w:pPr>
      <w:r w:rsidRPr="008B4CED">
        <w:rPr>
          <w:rFonts w:ascii="Times New Roman" w:hAnsi="Times New Roman" w:cs="Times New Roman"/>
          <w:sz w:val="28"/>
          <w:szCs w:val="28"/>
        </w:rPr>
        <w:t xml:space="preserve">Снижение объёмов выработки электроэнергии в 2015 году обусловлено простоем и длительным ремонтом энергоблока № 4 на Сургутской ГРЭС-2 вследствие обрушения кровли в отделении энергоблока. Сокращение производства электроэнергии также обусловлено снижением энергопотребления предприятиями нефтегазового комплекса и предложением более дешевой электроэнергии другими электростанциями, расположенными в Российской Федерации.  </w:t>
      </w:r>
    </w:p>
    <w:p w:rsidR="00FE1C88" w:rsidRPr="008B4CED" w:rsidRDefault="00FE1C88" w:rsidP="008B4CED">
      <w:pPr>
        <w:ind w:firstLine="567"/>
        <w:jc w:val="both"/>
        <w:rPr>
          <w:rFonts w:ascii="Times New Roman" w:hAnsi="Times New Roman" w:cs="Times New Roman"/>
          <w:sz w:val="28"/>
          <w:szCs w:val="28"/>
        </w:rPr>
      </w:pPr>
      <w:r w:rsidRPr="008B4CED">
        <w:rPr>
          <w:rFonts w:ascii="Times New Roman" w:hAnsi="Times New Roman" w:cs="Times New Roman"/>
          <w:sz w:val="28"/>
          <w:szCs w:val="28"/>
        </w:rPr>
        <w:t>Объёмы отпуска теплоэнергии зависят от температуры наружного воздуха.</w:t>
      </w:r>
    </w:p>
    <w:p w:rsidR="00FE1C88" w:rsidRPr="008B4CED" w:rsidRDefault="00FE1C88" w:rsidP="008B4CED">
      <w:pPr>
        <w:ind w:firstLine="567"/>
        <w:jc w:val="both"/>
        <w:rPr>
          <w:rFonts w:ascii="Times New Roman" w:hAnsi="Times New Roman" w:cs="Times New Roman"/>
        </w:rPr>
      </w:pPr>
      <w:r w:rsidRPr="008B4CED">
        <w:rPr>
          <w:rFonts w:ascii="Times New Roman" w:hAnsi="Times New Roman" w:cs="Times New Roman"/>
          <w:sz w:val="28"/>
          <w:szCs w:val="28"/>
        </w:rPr>
        <w:t xml:space="preserve">В сфере формирования благоприятного инвестиционного климата Сургут характеризуется высокой степенью активности. По итогам 2015 года, в феврале 2016 года рейтинговое агентство </w:t>
      </w:r>
      <w:r w:rsidRPr="008B4CED">
        <w:rPr>
          <w:rFonts w:ascii="Times New Roman" w:hAnsi="Times New Roman" w:cs="Times New Roman"/>
          <w:sz w:val="28"/>
          <w:szCs w:val="28"/>
          <w:lang w:val="en-US"/>
        </w:rPr>
        <w:t>Standard</w:t>
      </w:r>
      <w:r w:rsidRPr="008B4CED">
        <w:rPr>
          <w:rFonts w:ascii="Times New Roman" w:hAnsi="Times New Roman" w:cs="Times New Roman"/>
          <w:sz w:val="28"/>
          <w:szCs w:val="28"/>
        </w:rPr>
        <w:t xml:space="preserve"> &amp; Роог'</w:t>
      </w:r>
      <w:r w:rsidRPr="008B4CED">
        <w:rPr>
          <w:rFonts w:ascii="Times New Roman" w:hAnsi="Times New Roman" w:cs="Times New Roman"/>
          <w:sz w:val="28"/>
          <w:szCs w:val="28"/>
          <w:lang w:val="en-US"/>
        </w:rPr>
        <w:t>s</w:t>
      </w:r>
      <w:r w:rsidRPr="008B4CED">
        <w:rPr>
          <w:rFonts w:ascii="Times New Roman" w:hAnsi="Times New Roman" w:cs="Times New Roman"/>
          <w:sz w:val="28"/>
          <w:szCs w:val="28"/>
        </w:rPr>
        <w:t xml:space="preserve"> подтвердило долгосрочный кредитный рейтинг уровня «</w:t>
      </w:r>
      <w:proofErr w:type="gramStart"/>
      <w:r w:rsidRPr="008B4CED">
        <w:rPr>
          <w:rFonts w:ascii="Times New Roman" w:hAnsi="Times New Roman" w:cs="Times New Roman"/>
          <w:sz w:val="28"/>
          <w:szCs w:val="28"/>
        </w:rPr>
        <w:t>ВВ</w:t>
      </w:r>
      <w:proofErr w:type="gramEnd"/>
      <w:r w:rsidRPr="008B4CED">
        <w:rPr>
          <w:rFonts w:ascii="Times New Roman" w:hAnsi="Times New Roman" w:cs="Times New Roman"/>
          <w:sz w:val="28"/>
          <w:szCs w:val="28"/>
        </w:rPr>
        <w:t>+», рейтинг по национальной шкале – «ruAA+» Сургута. Впервые в 2015 году был присвоен рейтинг собственной кредитоспособности Сургута и оценен на уровне «</w:t>
      </w:r>
      <w:proofErr w:type="spellStart"/>
      <w:r w:rsidRPr="008B4CED">
        <w:rPr>
          <w:rFonts w:ascii="Times New Roman" w:hAnsi="Times New Roman" w:cs="Times New Roman"/>
          <w:sz w:val="28"/>
          <w:szCs w:val="28"/>
          <w:lang w:val="en-US"/>
        </w:rPr>
        <w:t>bbb</w:t>
      </w:r>
      <w:proofErr w:type="spellEnd"/>
      <w:r w:rsidRPr="008B4CED">
        <w:rPr>
          <w:rFonts w:ascii="Times New Roman" w:hAnsi="Times New Roman" w:cs="Times New Roman"/>
          <w:sz w:val="28"/>
          <w:szCs w:val="28"/>
        </w:rPr>
        <w:t>-». Рейтинг отражает умеренные финансовые показатели, низкий уровень долга, высокие показатели ликвидности, качество управления финансами оценено как «удовлетворительное».</w:t>
      </w:r>
    </w:p>
    <w:p w:rsidR="00FE1C88" w:rsidRPr="008B4CED" w:rsidRDefault="00FE1C88" w:rsidP="008B4CED">
      <w:pPr>
        <w:shd w:val="clear" w:color="auto" w:fill="FFFFFF" w:themeFill="background1"/>
        <w:ind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Объем инвестиций в основной капитал промышленных предприятий за 2015 год составил 17 662 млн. рублей, что на 36% ниже планового значения показателя. Доля промышленных предприятий в общем объеме инвестиций </w:t>
      </w:r>
      <w:r w:rsidRPr="008B4CED">
        <w:rPr>
          <w:rFonts w:ascii="Times New Roman" w:hAnsi="Times New Roman" w:cs="Times New Roman"/>
          <w:sz w:val="28"/>
          <w:szCs w:val="28"/>
          <w:shd w:val="clear" w:color="auto" w:fill="FFFFFF" w:themeFill="background1"/>
        </w:rPr>
        <w:t>составляет 42,5</w:t>
      </w:r>
      <w:r w:rsidRPr="008B4CED">
        <w:rPr>
          <w:rFonts w:ascii="Times New Roman" w:hAnsi="Times New Roman" w:cs="Times New Roman"/>
          <w:sz w:val="28"/>
          <w:szCs w:val="28"/>
        </w:rPr>
        <w:t xml:space="preserve"> %. Снижение инвестиций обусловлено корректировкой инвестиционных программ энергетических компаний.</w:t>
      </w:r>
    </w:p>
    <w:p w:rsidR="00FE1C88" w:rsidRPr="008B4CED" w:rsidRDefault="00FE1C88" w:rsidP="008B4CED">
      <w:pPr>
        <w:ind w:firstLine="567"/>
        <w:jc w:val="both"/>
        <w:rPr>
          <w:rFonts w:ascii="Times New Roman" w:hAnsi="Times New Roman" w:cs="Times New Roman"/>
          <w:sz w:val="28"/>
          <w:szCs w:val="28"/>
        </w:rPr>
      </w:pPr>
      <w:r w:rsidRPr="008B4CED">
        <w:rPr>
          <w:rFonts w:ascii="Times New Roman" w:hAnsi="Times New Roman" w:cs="Times New Roman"/>
          <w:sz w:val="28"/>
          <w:szCs w:val="28"/>
        </w:rPr>
        <w:lastRenderedPageBreak/>
        <w:t>Стратегия развития промышленного производства направлена на поддержание высокого уровня конкурентоспособности, обеспечение требуемого объема доступных рабочих мощностей с применением передовых высокоэффективных технологий производства и управления.</w:t>
      </w:r>
    </w:p>
    <w:p w:rsidR="00FE1C88" w:rsidRDefault="00FE1C88" w:rsidP="00FE1C88">
      <w:pPr>
        <w:pStyle w:val="a4"/>
        <w:rPr>
          <w:sz w:val="28"/>
          <w:szCs w:val="28"/>
        </w:rPr>
      </w:pPr>
      <w:r w:rsidRPr="0085143F">
        <w:rPr>
          <w:sz w:val="28"/>
          <w:szCs w:val="28"/>
        </w:rPr>
        <w:t xml:space="preserve">Наиболее значимыми для данного вектора мероприятиями и проектами, реализуемыми в Сургуте в 2015 году, являются: </w:t>
      </w:r>
    </w:p>
    <w:p w:rsidR="00FE1C88" w:rsidRPr="0085143F" w:rsidRDefault="00FE1C88" w:rsidP="00FE1C88">
      <w:pPr>
        <w:pStyle w:val="a4"/>
        <w:rPr>
          <w:sz w:val="28"/>
          <w:szCs w:val="28"/>
        </w:rPr>
      </w:pPr>
    </w:p>
    <w:p w:rsidR="00FE1C88" w:rsidRDefault="00FE1C88" w:rsidP="00FE1C88">
      <w:pPr>
        <w:pStyle w:val="a4"/>
        <w:numPr>
          <w:ilvl w:val="0"/>
          <w:numId w:val="2"/>
        </w:numPr>
        <w:tabs>
          <w:tab w:val="left" w:pos="0"/>
          <w:tab w:val="left" w:pos="993"/>
        </w:tabs>
        <w:ind w:left="0" w:firstLine="567"/>
        <w:rPr>
          <w:i/>
          <w:sz w:val="28"/>
          <w:szCs w:val="28"/>
        </w:rPr>
      </w:pPr>
      <w:r w:rsidRPr="00883BE3">
        <w:rPr>
          <w:i/>
          <w:sz w:val="28"/>
          <w:szCs w:val="28"/>
        </w:rPr>
        <w:t>Модернизация производства ОАО «Сургутнефтегаз».</w:t>
      </w:r>
    </w:p>
    <w:p w:rsidR="00FE1C88" w:rsidRDefault="00FE1C88" w:rsidP="00FE1C88">
      <w:pPr>
        <w:pStyle w:val="a4"/>
        <w:tabs>
          <w:tab w:val="left" w:pos="0"/>
        </w:tabs>
        <w:rPr>
          <w:sz w:val="28"/>
          <w:szCs w:val="28"/>
        </w:rPr>
      </w:pPr>
      <w:r w:rsidRPr="0085143F">
        <w:rPr>
          <w:sz w:val="28"/>
          <w:szCs w:val="28"/>
        </w:rPr>
        <w:t>Публикация информации по модернизации производства предприяти</w:t>
      </w:r>
      <w:r>
        <w:rPr>
          <w:sz w:val="28"/>
          <w:szCs w:val="28"/>
        </w:rPr>
        <w:t>ем</w:t>
      </w:r>
      <w:r w:rsidRPr="0085143F">
        <w:rPr>
          <w:sz w:val="28"/>
          <w:szCs w:val="28"/>
        </w:rPr>
        <w:t xml:space="preserve"> планируется в мае 2016 года. </w:t>
      </w:r>
    </w:p>
    <w:p w:rsidR="00FE1C88" w:rsidRDefault="00FE1C88" w:rsidP="00FE1C88">
      <w:pPr>
        <w:pStyle w:val="a4"/>
        <w:tabs>
          <w:tab w:val="left" w:pos="0"/>
          <w:tab w:val="left" w:pos="993"/>
        </w:tabs>
        <w:ind w:left="567" w:firstLine="0"/>
        <w:rPr>
          <w:i/>
          <w:sz w:val="28"/>
          <w:szCs w:val="28"/>
        </w:rPr>
      </w:pPr>
    </w:p>
    <w:p w:rsidR="00FE1C88" w:rsidRDefault="00FE1C88" w:rsidP="00FE1C88">
      <w:pPr>
        <w:pStyle w:val="a4"/>
        <w:numPr>
          <w:ilvl w:val="0"/>
          <w:numId w:val="2"/>
        </w:numPr>
        <w:tabs>
          <w:tab w:val="left" w:pos="0"/>
          <w:tab w:val="left" w:pos="993"/>
        </w:tabs>
        <w:ind w:left="0" w:firstLine="567"/>
        <w:rPr>
          <w:i/>
          <w:sz w:val="28"/>
          <w:szCs w:val="28"/>
        </w:rPr>
      </w:pPr>
      <w:r>
        <w:rPr>
          <w:i/>
          <w:sz w:val="28"/>
          <w:szCs w:val="28"/>
        </w:rPr>
        <w:t xml:space="preserve"> </w:t>
      </w:r>
      <w:r w:rsidRPr="004F29E3">
        <w:rPr>
          <w:i/>
          <w:sz w:val="28"/>
          <w:szCs w:val="28"/>
        </w:rPr>
        <w:t>Модернизация ОАО «Завод стабилизации конденсата имени В.С. Черномырдина».</w:t>
      </w:r>
    </w:p>
    <w:p w:rsidR="00FE1C88" w:rsidRPr="008B4CED" w:rsidRDefault="00FE1C88" w:rsidP="008B4CED">
      <w:pPr>
        <w:ind w:firstLine="567"/>
        <w:jc w:val="both"/>
        <w:rPr>
          <w:rFonts w:ascii="Times New Roman" w:eastAsia="Times New Roman" w:hAnsi="Times New Roman" w:cs="Times New Roman"/>
          <w:sz w:val="28"/>
          <w:szCs w:val="28"/>
        </w:rPr>
      </w:pPr>
      <w:r w:rsidRPr="008B4CED">
        <w:rPr>
          <w:rFonts w:ascii="Times New Roman" w:eastAsia="Times New Roman" w:hAnsi="Times New Roman" w:cs="Times New Roman"/>
          <w:sz w:val="28"/>
          <w:szCs w:val="28"/>
        </w:rPr>
        <w:t xml:space="preserve">Сургутский завод стабилизации конденсата (ЗСК) является крупнейшим предприятием по переработке газового конденсата и по переработке углеводородного сырья. Завод перерабатывает поступающую с севера Тюменской области нефтегазоконденсатную смесь и производит более 20 видов товарной продукции, в том числе моторные топлива, </w:t>
      </w:r>
      <w:proofErr w:type="spellStart"/>
      <w:r w:rsidRPr="008B4CED">
        <w:rPr>
          <w:rFonts w:ascii="Times New Roman" w:eastAsia="Times New Roman" w:hAnsi="Times New Roman" w:cs="Times New Roman"/>
          <w:sz w:val="28"/>
          <w:szCs w:val="28"/>
        </w:rPr>
        <w:t>авиакеросин</w:t>
      </w:r>
      <w:proofErr w:type="spellEnd"/>
      <w:r w:rsidRPr="008B4CED">
        <w:rPr>
          <w:rFonts w:ascii="Times New Roman" w:eastAsia="Times New Roman" w:hAnsi="Times New Roman" w:cs="Times New Roman"/>
          <w:sz w:val="28"/>
          <w:szCs w:val="28"/>
        </w:rPr>
        <w:t xml:space="preserve">, сжиженные углеводородные газы и </w:t>
      </w:r>
      <w:proofErr w:type="gramStart"/>
      <w:r w:rsidRPr="008B4CED">
        <w:rPr>
          <w:rFonts w:ascii="Times New Roman" w:eastAsia="Times New Roman" w:hAnsi="Times New Roman" w:cs="Times New Roman"/>
          <w:sz w:val="28"/>
          <w:szCs w:val="28"/>
        </w:rPr>
        <w:t>другое</w:t>
      </w:r>
      <w:proofErr w:type="gramEnd"/>
      <w:r w:rsidRPr="008B4CED">
        <w:rPr>
          <w:rFonts w:ascii="Times New Roman" w:eastAsia="Times New Roman" w:hAnsi="Times New Roman" w:cs="Times New Roman"/>
          <w:sz w:val="28"/>
          <w:szCs w:val="28"/>
        </w:rPr>
        <w:t xml:space="preserve">. </w:t>
      </w:r>
    </w:p>
    <w:p w:rsidR="00FE1C88" w:rsidRPr="008B4CED" w:rsidRDefault="00FE1C88" w:rsidP="008B4CED">
      <w:pPr>
        <w:ind w:firstLine="567"/>
        <w:jc w:val="both"/>
        <w:rPr>
          <w:rFonts w:ascii="Times New Roman" w:eastAsia="Times New Roman" w:hAnsi="Times New Roman" w:cs="Times New Roman"/>
          <w:sz w:val="28"/>
          <w:szCs w:val="28"/>
        </w:rPr>
      </w:pPr>
      <w:r w:rsidRPr="008B4CED">
        <w:rPr>
          <w:rFonts w:ascii="Times New Roman" w:eastAsia="Times New Roman" w:hAnsi="Times New Roman" w:cs="Times New Roman"/>
          <w:sz w:val="28"/>
          <w:szCs w:val="28"/>
        </w:rPr>
        <w:t>В декабре 2014 года состоялся ввод в эксплуатацию установки стабилизации конденсата № 3 (УСК-3)</w:t>
      </w:r>
      <w:r w:rsidRPr="008B4CED">
        <w:rPr>
          <w:rStyle w:val="a8"/>
          <w:rFonts w:ascii="Times New Roman" w:eastAsia="Times New Roman" w:hAnsi="Times New Roman" w:cs="Times New Roman"/>
          <w:sz w:val="28"/>
          <w:szCs w:val="28"/>
        </w:rPr>
        <w:footnoteReference w:id="1"/>
      </w:r>
      <w:r w:rsidRPr="008B4CED">
        <w:rPr>
          <w:rFonts w:ascii="Times New Roman" w:eastAsia="Times New Roman" w:hAnsi="Times New Roman" w:cs="Times New Roman"/>
          <w:sz w:val="28"/>
          <w:szCs w:val="28"/>
        </w:rPr>
        <w:t>.</w:t>
      </w:r>
    </w:p>
    <w:p w:rsidR="00FE1C88" w:rsidRPr="008B4CED" w:rsidRDefault="00FE1C88" w:rsidP="008B4CED">
      <w:pPr>
        <w:ind w:firstLine="567"/>
        <w:jc w:val="both"/>
        <w:rPr>
          <w:rFonts w:ascii="Times New Roman" w:eastAsia="Times New Roman" w:hAnsi="Times New Roman" w:cs="Times New Roman"/>
          <w:sz w:val="28"/>
          <w:szCs w:val="28"/>
        </w:rPr>
      </w:pPr>
      <w:r w:rsidRPr="008B4CED">
        <w:rPr>
          <w:rFonts w:ascii="Times New Roman" w:eastAsia="Times New Roman" w:hAnsi="Times New Roman" w:cs="Times New Roman"/>
          <w:sz w:val="28"/>
          <w:szCs w:val="28"/>
        </w:rPr>
        <w:t>«Это событие — итог большой работы, которая длилась несколько лет. В нем были задействованы работники нашего предприятия, Общества «Газпром переработка», подрядные организации, более 5 миллиардов рублей инвестиций в этот проект», — отметил в приветственном слове директор завода Пётр Воронин.</w:t>
      </w:r>
    </w:p>
    <w:p w:rsidR="00FE1C88" w:rsidRPr="008B4CED" w:rsidRDefault="00FE1C88" w:rsidP="008B4CED">
      <w:pPr>
        <w:ind w:firstLine="567"/>
        <w:jc w:val="both"/>
        <w:rPr>
          <w:rFonts w:ascii="Times New Roman" w:eastAsia="Times New Roman" w:hAnsi="Times New Roman" w:cs="Times New Roman"/>
          <w:sz w:val="28"/>
          <w:szCs w:val="28"/>
        </w:rPr>
      </w:pPr>
      <w:r w:rsidRPr="008B4CED">
        <w:rPr>
          <w:rFonts w:ascii="Times New Roman" w:eastAsia="Times New Roman" w:hAnsi="Times New Roman" w:cs="Times New Roman"/>
          <w:sz w:val="28"/>
          <w:szCs w:val="28"/>
        </w:rPr>
        <w:t xml:space="preserve">«Завод — это ключ к освоению </w:t>
      </w:r>
      <w:proofErr w:type="spellStart"/>
      <w:r w:rsidRPr="008B4CED">
        <w:rPr>
          <w:rFonts w:ascii="Times New Roman" w:eastAsia="Times New Roman" w:hAnsi="Times New Roman" w:cs="Times New Roman"/>
          <w:sz w:val="28"/>
          <w:szCs w:val="28"/>
        </w:rPr>
        <w:t>ачимовских</w:t>
      </w:r>
      <w:proofErr w:type="spellEnd"/>
      <w:r w:rsidRPr="008B4CED">
        <w:rPr>
          <w:rFonts w:ascii="Times New Roman" w:eastAsia="Times New Roman" w:hAnsi="Times New Roman" w:cs="Times New Roman"/>
          <w:sz w:val="28"/>
          <w:szCs w:val="28"/>
        </w:rPr>
        <w:t xml:space="preserve"> и </w:t>
      </w:r>
      <w:proofErr w:type="spellStart"/>
      <w:r w:rsidRPr="008B4CED">
        <w:rPr>
          <w:rFonts w:ascii="Times New Roman" w:eastAsia="Times New Roman" w:hAnsi="Times New Roman" w:cs="Times New Roman"/>
          <w:sz w:val="28"/>
          <w:szCs w:val="28"/>
        </w:rPr>
        <w:t>валанжинских</w:t>
      </w:r>
      <w:proofErr w:type="spellEnd"/>
      <w:r w:rsidRPr="008B4CED">
        <w:rPr>
          <w:rFonts w:ascii="Times New Roman" w:eastAsia="Times New Roman" w:hAnsi="Times New Roman" w:cs="Times New Roman"/>
          <w:sz w:val="28"/>
          <w:szCs w:val="28"/>
        </w:rPr>
        <w:t xml:space="preserve"> залежей всей Западной Сибири. И пуск новой установки на Сургутском ЗСК — это открытый путь для «Газпрома» к увеличению добычи газа», — подчеркнул значимость объекта генеральный директор ООО «Газпром переработка» Юрий Важенин.</w:t>
      </w:r>
    </w:p>
    <w:p w:rsidR="00FE1C88" w:rsidRPr="008B4CED" w:rsidRDefault="00FE1C88" w:rsidP="008B4CED">
      <w:pPr>
        <w:ind w:firstLine="567"/>
        <w:jc w:val="both"/>
        <w:rPr>
          <w:rFonts w:ascii="Times New Roman" w:eastAsia="Times New Roman" w:hAnsi="Times New Roman" w:cs="Times New Roman"/>
          <w:sz w:val="28"/>
          <w:szCs w:val="28"/>
        </w:rPr>
      </w:pPr>
      <w:r w:rsidRPr="008B4CED">
        <w:rPr>
          <w:rFonts w:ascii="Times New Roman" w:eastAsia="Times New Roman" w:hAnsi="Times New Roman" w:cs="Times New Roman"/>
          <w:sz w:val="28"/>
          <w:szCs w:val="28"/>
        </w:rPr>
        <w:t>Он также отметил, что ввод новой технологической установки — крупнейший инвестиционный проект за последние годы в ООО «Газпром переработка». В ближайшую пятилетку ОАО «Газпром» планирует вложить в завод порядка 30 миллиардов рублей.</w:t>
      </w:r>
    </w:p>
    <w:p w:rsidR="00FE1C88" w:rsidRPr="008B4CED" w:rsidRDefault="00FE1C88" w:rsidP="008B4CED">
      <w:pPr>
        <w:ind w:firstLine="567"/>
        <w:jc w:val="both"/>
        <w:rPr>
          <w:rFonts w:ascii="Times New Roman" w:eastAsia="Times New Roman" w:hAnsi="Times New Roman" w:cs="Times New Roman"/>
          <w:sz w:val="28"/>
          <w:szCs w:val="28"/>
        </w:rPr>
      </w:pPr>
      <w:r w:rsidRPr="008B4CED">
        <w:rPr>
          <w:rFonts w:ascii="Times New Roman" w:eastAsia="Times New Roman" w:hAnsi="Times New Roman" w:cs="Times New Roman"/>
          <w:sz w:val="28"/>
          <w:szCs w:val="28"/>
        </w:rPr>
        <w:t xml:space="preserve">УСК-3 </w:t>
      </w:r>
      <w:proofErr w:type="gramStart"/>
      <w:r w:rsidRPr="008B4CED">
        <w:rPr>
          <w:rFonts w:ascii="Times New Roman" w:eastAsia="Times New Roman" w:hAnsi="Times New Roman" w:cs="Times New Roman"/>
          <w:sz w:val="28"/>
          <w:szCs w:val="28"/>
        </w:rPr>
        <w:t>предназначена</w:t>
      </w:r>
      <w:proofErr w:type="gramEnd"/>
      <w:r w:rsidRPr="008B4CED">
        <w:rPr>
          <w:rFonts w:ascii="Times New Roman" w:eastAsia="Times New Roman" w:hAnsi="Times New Roman" w:cs="Times New Roman"/>
          <w:sz w:val="28"/>
          <w:szCs w:val="28"/>
        </w:rPr>
        <w:t xml:space="preserve"> для переработки дополнительного объема сырья, поступающего на Сургутский ЗСК с месторождений севера Тюменской области. Установка состоит из двух технологических линий (восьмой и </w:t>
      </w:r>
      <w:r w:rsidRPr="008B4CED">
        <w:rPr>
          <w:rFonts w:ascii="Times New Roman" w:eastAsia="Times New Roman" w:hAnsi="Times New Roman" w:cs="Times New Roman"/>
          <w:sz w:val="28"/>
          <w:szCs w:val="28"/>
        </w:rPr>
        <w:lastRenderedPageBreak/>
        <w:t xml:space="preserve">девятой), годовая производительность каждой из которых — 2 </w:t>
      </w:r>
      <w:proofErr w:type="spellStart"/>
      <w:r w:rsidRPr="008B4CED">
        <w:rPr>
          <w:rFonts w:ascii="Times New Roman" w:eastAsia="Times New Roman" w:hAnsi="Times New Roman" w:cs="Times New Roman"/>
          <w:sz w:val="28"/>
          <w:szCs w:val="28"/>
        </w:rPr>
        <w:t>млн</w:t>
      </w:r>
      <w:proofErr w:type="gramStart"/>
      <w:r w:rsidRPr="008B4CED">
        <w:rPr>
          <w:rFonts w:ascii="Times New Roman" w:eastAsia="Times New Roman" w:hAnsi="Times New Roman" w:cs="Times New Roman"/>
          <w:sz w:val="28"/>
          <w:szCs w:val="28"/>
        </w:rPr>
        <w:t>.т</w:t>
      </w:r>
      <w:proofErr w:type="spellEnd"/>
      <w:proofErr w:type="gramEnd"/>
      <w:r w:rsidRPr="008B4CED">
        <w:rPr>
          <w:rFonts w:ascii="Times New Roman" w:eastAsia="Times New Roman" w:hAnsi="Times New Roman" w:cs="Times New Roman"/>
          <w:sz w:val="28"/>
          <w:szCs w:val="28"/>
        </w:rPr>
        <w:t xml:space="preserve"> сырья в год. Пуск объекта позволил увеличить проектные перерабатывающие мощности завода с 8 до 12 </w:t>
      </w:r>
      <w:proofErr w:type="spellStart"/>
      <w:r w:rsidRPr="008B4CED">
        <w:rPr>
          <w:rFonts w:ascii="Times New Roman" w:eastAsia="Times New Roman" w:hAnsi="Times New Roman" w:cs="Times New Roman"/>
          <w:sz w:val="28"/>
          <w:szCs w:val="28"/>
        </w:rPr>
        <w:t>млн</w:t>
      </w:r>
      <w:proofErr w:type="gramStart"/>
      <w:r w:rsidRPr="008B4CED">
        <w:rPr>
          <w:rFonts w:ascii="Times New Roman" w:eastAsia="Times New Roman" w:hAnsi="Times New Roman" w:cs="Times New Roman"/>
          <w:sz w:val="28"/>
          <w:szCs w:val="28"/>
        </w:rPr>
        <w:t>.т</w:t>
      </w:r>
      <w:proofErr w:type="spellEnd"/>
      <w:proofErr w:type="gramEnd"/>
      <w:r w:rsidRPr="008B4CED">
        <w:rPr>
          <w:rFonts w:ascii="Times New Roman" w:eastAsia="Times New Roman" w:hAnsi="Times New Roman" w:cs="Times New Roman"/>
          <w:sz w:val="28"/>
          <w:szCs w:val="28"/>
        </w:rPr>
        <w:t xml:space="preserve"> в год.</w:t>
      </w:r>
    </w:p>
    <w:p w:rsidR="00FE1C88" w:rsidRDefault="00FE1C88" w:rsidP="00FE1C88">
      <w:pPr>
        <w:pStyle w:val="a4"/>
        <w:tabs>
          <w:tab w:val="left" w:pos="0"/>
          <w:tab w:val="left" w:pos="993"/>
        </w:tabs>
        <w:rPr>
          <w:i/>
          <w:sz w:val="28"/>
          <w:szCs w:val="28"/>
        </w:rPr>
      </w:pPr>
    </w:p>
    <w:p w:rsidR="00FE1C88" w:rsidRPr="00565A69" w:rsidRDefault="00FE1C88" w:rsidP="00FE1C88">
      <w:pPr>
        <w:pStyle w:val="a4"/>
        <w:numPr>
          <w:ilvl w:val="0"/>
          <w:numId w:val="2"/>
        </w:numPr>
        <w:tabs>
          <w:tab w:val="left" w:pos="0"/>
          <w:tab w:val="left" w:pos="993"/>
        </w:tabs>
        <w:ind w:left="0" w:firstLine="567"/>
        <w:rPr>
          <w:i/>
          <w:sz w:val="28"/>
          <w:szCs w:val="28"/>
        </w:rPr>
      </w:pPr>
      <w:r w:rsidRPr="00565A69">
        <w:rPr>
          <w:i/>
          <w:sz w:val="28"/>
          <w:szCs w:val="28"/>
        </w:rPr>
        <w:t>Модернизация ПАО «ОГК-2 «Сургутская ГРЭС-1».</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t>Реализация проекта по модернизации предприятия направлена на реконструкцию основного оборудования электростанции:</w:t>
      </w:r>
    </w:p>
    <w:p w:rsidR="00FE1C88" w:rsidRPr="008B4CED" w:rsidRDefault="00FE1C88" w:rsidP="008B4CED">
      <w:pPr>
        <w:pStyle w:val="a3"/>
        <w:numPr>
          <w:ilvl w:val="1"/>
          <w:numId w:val="3"/>
        </w:numPr>
        <w:tabs>
          <w:tab w:val="left" w:pos="1134"/>
        </w:tabs>
        <w:spacing w:after="0" w:line="240" w:lineRule="auto"/>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Техническое перевооружение систем газоснабжения на блоках станций №1, №8 с заменой горелок. На котлах вместо существующих </w:t>
      </w:r>
      <w:proofErr w:type="spellStart"/>
      <w:r w:rsidRPr="008B4CED">
        <w:rPr>
          <w:rFonts w:ascii="Times New Roman" w:hAnsi="Times New Roman" w:cs="Times New Roman"/>
          <w:sz w:val="28"/>
          <w:szCs w:val="28"/>
        </w:rPr>
        <w:t>двухпоточных</w:t>
      </w:r>
      <w:proofErr w:type="spellEnd"/>
      <w:r w:rsidRPr="008B4CED">
        <w:rPr>
          <w:rFonts w:ascii="Times New Roman" w:hAnsi="Times New Roman" w:cs="Times New Roman"/>
          <w:sz w:val="28"/>
          <w:szCs w:val="28"/>
        </w:rPr>
        <w:t xml:space="preserve"> горелок установлены малотоксичные горелки с высокой стабильностью воспламенения в широком диапазоне изменения давления воздуха и газа. Данное техническое перевооружение обеспечило:</w:t>
      </w:r>
    </w:p>
    <w:p w:rsidR="00FE1C88" w:rsidRPr="008B4CED" w:rsidRDefault="00FE1C88" w:rsidP="008B4CED">
      <w:pPr>
        <w:jc w:val="both"/>
        <w:rPr>
          <w:rFonts w:ascii="Times New Roman" w:hAnsi="Times New Roman" w:cs="Times New Roman"/>
          <w:sz w:val="28"/>
          <w:szCs w:val="28"/>
        </w:rPr>
      </w:pPr>
      <w:r w:rsidRPr="008B4CED">
        <w:rPr>
          <w:rFonts w:ascii="Times New Roman" w:hAnsi="Times New Roman" w:cs="Times New Roman"/>
          <w:sz w:val="28"/>
          <w:szCs w:val="28"/>
        </w:rPr>
        <w:t xml:space="preserve">- приведение системы газоснабжения </w:t>
      </w:r>
      <w:proofErr w:type="spellStart"/>
      <w:r w:rsidRPr="008B4CED">
        <w:rPr>
          <w:rFonts w:ascii="Times New Roman" w:hAnsi="Times New Roman" w:cs="Times New Roman"/>
          <w:sz w:val="28"/>
          <w:szCs w:val="28"/>
        </w:rPr>
        <w:t>котлоагрегата</w:t>
      </w:r>
      <w:proofErr w:type="spellEnd"/>
      <w:r w:rsidRPr="008B4CED">
        <w:rPr>
          <w:rFonts w:ascii="Times New Roman" w:hAnsi="Times New Roman" w:cs="Times New Roman"/>
          <w:sz w:val="28"/>
          <w:szCs w:val="28"/>
        </w:rPr>
        <w:t xml:space="preserve"> в соответствие с «Правилами безопасности </w:t>
      </w:r>
      <w:proofErr w:type="spellStart"/>
      <w:r w:rsidRPr="008B4CED">
        <w:rPr>
          <w:rFonts w:ascii="Times New Roman" w:hAnsi="Times New Roman" w:cs="Times New Roman"/>
          <w:sz w:val="28"/>
          <w:szCs w:val="28"/>
        </w:rPr>
        <w:t>газопотребления</w:t>
      </w:r>
      <w:proofErr w:type="spellEnd"/>
      <w:r w:rsidRPr="008B4CED">
        <w:rPr>
          <w:rFonts w:ascii="Times New Roman" w:hAnsi="Times New Roman" w:cs="Times New Roman"/>
          <w:sz w:val="28"/>
          <w:szCs w:val="28"/>
        </w:rPr>
        <w:t xml:space="preserve"> и газораспределения» и «Правилами безопасности сетей газораспределения и </w:t>
      </w:r>
      <w:proofErr w:type="spellStart"/>
      <w:r w:rsidRPr="008B4CED">
        <w:rPr>
          <w:rFonts w:ascii="Times New Roman" w:hAnsi="Times New Roman" w:cs="Times New Roman"/>
          <w:sz w:val="28"/>
          <w:szCs w:val="28"/>
        </w:rPr>
        <w:t>газопотребления</w:t>
      </w:r>
      <w:proofErr w:type="spellEnd"/>
      <w:r w:rsidRPr="008B4CED">
        <w:rPr>
          <w:rFonts w:ascii="Times New Roman" w:hAnsi="Times New Roman" w:cs="Times New Roman"/>
          <w:sz w:val="28"/>
          <w:szCs w:val="28"/>
        </w:rPr>
        <w:t>»;</w:t>
      </w:r>
    </w:p>
    <w:p w:rsidR="00FE1C88" w:rsidRPr="008B4CED" w:rsidRDefault="00FE1C88" w:rsidP="008B4CED">
      <w:pPr>
        <w:jc w:val="both"/>
        <w:rPr>
          <w:rFonts w:ascii="Times New Roman" w:hAnsi="Times New Roman" w:cs="Times New Roman"/>
          <w:sz w:val="28"/>
          <w:szCs w:val="28"/>
        </w:rPr>
      </w:pPr>
      <w:r w:rsidRPr="008B4CED">
        <w:rPr>
          <w:rFonts w:ascii="Times New Roman" w:hAnsi="Times New Roman" w:cs="Times New Roman"/>
          <w:sz w:val="28"/>
          <w:szCs w:val="28"/>
        </w:rPr>
        <w:t xml:space="preserve">- повышение </w:t>
      </w:r>
      <w:proofErr w:type="spellStart"/>
      <w:r w:rsidRPr="008B4CED">
        <w:rPr>
          <w:rFonts w:ascii="Times New Roman" w:hAnsi="Times New Roman" w:cs="Times New Roman"/>
          <w:sz w:val="28"/>
          <w:szCs w:val="28"/>
        </w:rPr>
        <w:t>экологичности</w:t>
      </w:r>
      <w:proofErr w:type="spellEnd"/>
      <w:r w:rsidRPr="008B4CED">
        <w:rPr>
          <w:rFonts w:ascii="Times New Roman" w:hAnsi="Times New Roman" w:cs="Times New Roman"/>
          <w:sz w:val="28"/>
          <w:szCs w:val="28"/>
        </w:rPr>
        <w:t xml:space="preserve"> работы котельного оборудования за счет уменьшения выбросов окислов азота согласно требованиям, ГОСТ </w:t>
      </w:r>
      <w:proofErr w:type="gramStart"/>
      <w:r w:rsidRPr="008B4CED">
        <w:rPr>
          <w:rFonts w:ascii="Times New Roman" w:hAnsi="Times New Roman" w:cs="Times New Roman"/>
          <w:sz w:val="28"/>
          <w:szCs w:val="28"/>
        </w:rPr>
        <w:t>Р</w:t>
      </w:r>
      <w:proofErr w:type="gramEnd"/>
      <w:r w:rsidRPr="008B4CED">
        <w:rPr>
          <w:rFonts w:ascii="Times New Roman" w:hAnsi="Times New Roman" w:cs="Times New Roman"/>
          <w:sz w:val="28"/>
          <w:szCs w:val="28"/>
        </w:rPr>
        <w:t xml:space="preserve"> 50831-95;</w:t>
      </w:r>
    </w:p>
    <w:p w:rsidR="00FE1C88" w:rsidRPr="008B4CED" w:rsidRDefault="00FE1C88" w:rsidP="008B4CED">
      <w:pPr>
        <w:jc w:val="both"/>
        <w:rPr>
          <w:rFonts w:ascii="Times New Roman" w:hAnsi="Times New Roman" w:cs="Times New Roman"/>
          <w:sz w:val="28"/>
          <w:szCs w:val="28"/>
        </w:rPr>
      </w:pPr>
      <w:r w:rsidRPr="008B4CED">
        <w:rPr>
          <w:rFonts w:ascii="Times New Roman" w:hAnsi="Times New Roman" w:cs="Times New Roman"/>
          <w:sz w:val="28"/>
          <w:szCs w:val="28"/>
        </w:rPr>
        <w:t>- повышение экономичности котла №1 за счет установки быстродействующей системы анализа дымовых газов с оптическими датчиками за дымососами.</w:t>
      </w:r>
    </w:p>
    <w:p w:rsidR="00FE1C88" w:rsidRPr="008B4CED" w:rsidRDefault="00FE1C88" w:rsidP="00FE1C88">
      <w:pPr>
        <w:pStyle w:val="a3"/>
        <w:numPr>
          <w:ilvl w:val="1"/>
          <w:numId w:val="3"/>
        </w:numPr>
        <w:tabs>
          <w:tab w:val="left" w:pos="993"/>
        </w:tabs>
        <w:spacing w:after="0" w:line="240" w:lineRule="auto"/>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 Техническое перевооружение газораспределительного пункта №1 (далее ГРП-1) позволило заменить устаревшее оборудование, автоматизировать процессы газоснабжения, установить узлы очистки поступающего газа для исключения возможности попадания механических примесей в газопроводы и их отложения на действующем оборудовании электростанции, что позволило повысить качество поступающего газа и надежность работы ГРП-1 и оборудования, входящего в его состав</w:t>
      </w:r>
      <w:r w:rsidRPr="008B4CED">
        <w:rPr>
          <w:rFonts w:ascii="Times New Roman" w:hAnsi="Times New Roman" w:cs="Times New Roman"/>
          <w:b/>
          <w:sz w:val="28"/>
          <w:szCs w:val="28"/>
        </w:rPr>
        <w:t xml:space="preserve">. </w:t>
      </w:r>
    </w:p>
    <w:p w:rsidR="00FE1C88" w:rsidRPr="008B4CED" w:rsidRDefault="00FE1C88" w:rsidP="008B4CED">
      <w:pPr>
        <w:pStyle w:val="a3"/>
        <w:numPr>
          <w:ilvl w:val="1"/>
          <w:numId w:val="3"/>
        </w:numPr>
        <w:tabs>
          <w:tab w:val="left" w:pos="993"/>
        </w:tabs>
        <w:spacing w:after="0" w:line="240" w:lineRule="auto"/>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 Техническое перевооружение автоматизированной системы управления технологического процесса на блоке 16. Проект реализован с целью:</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t>-</w:t>
      </w:r>
      <w:r w:rsidRPr="008B4CED">
        <w:rPr>
          <w:rFonts w:ascii="Times New Roman" w:hAnsi="Times New Roman" w:cs="Times New Roman"/>
          <w:sz w:val="28"/>
          <w:szCs w:val="28"/>
        </w:rPr>
        <w:tab/>
        <w:t>обеспечения возможности автоматизированного управления всем технологическим процессом выработки электрической и тепловой энергии заданного количества и качества, включая участие в регулировании параметров энергоблока в нормальных условиях и управление энергоблоком в аварийных ситуациях;</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t>-</w:t>
      </w:r>
      <w:r w:rsidRPr="008B4CED">
        <w:rPr>
          <w:rFonts w:ascii="Times New Roman" w:hAnsi="Times New Roman" w:cs="Times New Roman"/>
          <w:sz w:val="28"/>
          <w:szCs w:val="28"/>
        </w:rPr>
        <w:tab/>
        <w:t>создания алгоритмов управления и блокировок, препятствующих ошибочным действиям эксплуатационного персонала, участвующего в подготовке схем и систем технологического процесса;</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lastRenderedPageBreak/>
        <w:t>-</w:t>
      </w:r>
      <w:r w:rsidRPr="008B4CED">
        <w:rPr>
          <w:rFonts w:ascii="Times New Roman" w:hAnsi="Times New Roman" w:cs="Times New Roman"/>
          <w:sz w:val="28"/>
          <w:szCs w:val="28"/>
        </w:rPr>
        <w:tab/>
        <w:t>увеличения экономичности, надежности и долговечности оборудования вследствие уменьшения интенсивности случайных колебаний параметров технологических процессов;</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t>-</w:t>
      </w:r>
      <w:r w:rsidRPr="008B4CED">
        <w:rPr>
          <w:rFonts w:ascii="Times New Roman" w:hAnsi="Times New Roman" w:cs="Times New Roman"/>
          <w:sz w:val="28"/>
          <w:szCs w:val="28"/>
        </w:rPr>
        <w:tab/>
        <w:t>обеспечения оперативного персонала достаточной, достоверной и своевременной оперативной информацией о протекании технологических процессов энергоблока, а также о состоянии оборудования энергоблока и технических средств управления, представленной в наиболее удобной для восприятия форме, с целью минимизации ошибочных действий персонала;</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t>-</w:t>
      </w:r>
      <w:r w:rsidRPr="008B4CED">
        <w:rPr>
          <w:rFonts w:ascii="Times New Roman" w:hAnsi="Times New Roman" w:cs="Times New Roman"/>
          <w:sz w:val="28"/>
          <w:szCs w:val="28"/>
        </w:rPr>
        <w:tab/>
        <w:t>накопления информации для анализа, оптимизации и планирования работы оборудования блока и его ремонтов;</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t>-</w:t>
      </w:r>
      <w:r w:rsidRPr="008B4CED">
        <w:rPr>
          <w:rFonts w:ascii="Times New Roman" w:hAnsi="Times New Roman" w:cs="Times New Roman"/>
          <w:sz w:val="28"/>
          <w:szCs w:val="28"/>
        </w:rPr>
        <w:tab/>
        <w:t>исполнения требований постановления Правительства РФ от 31.09.2009 №879 «Об утверждении Положения о единицах величин, допускаемых к применению в Российской Федерации»;</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t>-</w:t>
      </w:r>
      <w:r w:rsidRPr="008B4CED">
        <w:rPr>
          <w:rFonts w:ascii="Times New Roman" w:hAnsi="Times New Roman" w:cs="Times New Roman"/>
          <w:sz w:val="28"/>
          <w:szCs w:val="28"/>
        </w:rPr>
        <w:tab/>
        <w:t>улучшения условий труда эксплуатационного персонала;</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t>-</w:t>
      </w:r>
      <w:r w:rsidRPr="008B4CED">
        <w:rPr>
          <w:rFonts w:ascii="Times New Roman" w:hAnsi="Times New Roman" w:cs="Times New Roman"/>
          <w:sz w:val="28"/>
          <w:szCs w:val="28"/>
        </w:rPr>
        <w:tab/>
        <w:t>повышения эксплуатационной готовности и маневренности энергоблока.</w:t>
      </w:r>
    </w:p>
    <w:p w:rsidR="00FE1C88" w:rsidRPr="008B4CED" w:rsidRDefault="00FE1C88" w:rsidP="008B4CED">
      <w:pPr>
        <w:pStyle w:val="a3"/>
        <w:numPr>
          <w:ilvl w:val="1"/>
          <w:numId w:val="3"/>
        </w:numPr>
        <w:tabs>
          <w:tab w:val="left" w:pos="993"/>
        </w:tabs>
        <w:spacing w:after="0" w:line="240" w:lineRule="auto"/>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 Техническое перевооружение котла энергоблока №16. </w:t>
      </w:r>
    </w:p>
    <w:p w:rsidR="00FE1C88" w:rsidRPr="008B4CED" w:rsidRDefault="00FE1C88" w:rsidP="008B4CED">
      <w:pPr>
        <w:pStyle w:val="a4"/>
        <w:ind w:right="-143"/>
        <w:rPr>
          <w:sz w:val="28"/>
          <w:szCs w:val="28"/>
        </w:rPr>
      </w:pPr>
      <w:r w:rsidRPr="008B4CED">
        <w:rPr>
          <w:sz w:val="28"/>
          <w:szCs w:val="28"/>
        </w:rPr>
        <w:t>Выполненные работы повысили надежность, увеличили межремонтный период работы котла, снизили тепловые потери с поверхности обмуровки и повысили экономичность работы блока.</w:t>
      </w:r>
    </w:p>
    <w:p w:rsidR="00FE1C88" w:rsidRPr="008B4CED" w:rsidRDefault="00FE1C88" w:rsidP="008B4CED">
      <w:pPr>
        <w:pStyle w:val="a3"/>
        <w:numPr>
          <w:ilvl w:val="1"/>
          <w:numId w:val="3"/>
        </w:numPr>
        <w:tabs>
          <w:tab w:val="left" w:pos="993"/>
        </w:tabs>
        <w:spacing w:after="0" w:line="240" w:lineRule="auto"/>
        <w:ind w:left="0" w:firstLine="567"/>
        <w:jc w:val="both"/>
        <w:rPr>
          <w:rFonts w:ascii="Times New Roman" w:hAnsi="Times New Roman" w:cs="Times New Roman"/>
          <w:sz w:val="28"/>
          <w:szCs w:val="28"/>
        </w:rPr>
      </w:pPr>
      <w:r w:rsidRPr="008B4CED">
        <w:rPr>
          <w:rFonts w:ascii="Times New Roman" w:hAnsi="Times New Roman" w:cs="Times New Roman"/>
          <w:sz w:val="28"/>
          <w:szCs w:val="28"/>
        </w:rPr>
        <w:t>Техническое перевооружение энергоблока № 1, №5.</w:t>
      </w:r>
    </w:p>
    <w:p w:rsidR="00FE1C88" w:rsidRPr="0085143F" w:rsidRDefault="00FE1C88" w:rsidP="008B4CED">
      <w:pPr>
        <w:pStyle w:val="a4"/>
        <w:ind w:right="-143"/>
        <w:rPr>
          <w:sz w:val="28"/>
          <w:szCs w:val="28"/>
        </w:rPr>
      </w:pPr>
      <w:r w:rsidRPr="0085143F">
        <w:rPr>
          <w:sz w:val="28"/>
          <w:szCs w:val="28"/>
        </w:rPr>
        <w:t xml:space="preserve">Проведен </w:t>
      </w:r>
      <w:r w:rsidRPr="0085143F">
        <w:rPr>
          <w:bCs/>
          <w:sz w:val="28"/>
          <w:szCs w:val="28"/>
        </w:rPr>
        <w:t>комплекс мероприятий по повышению технико-экономического уровня</w:t>
      </w:r>
      <w:r w:rsidRPr="0085143F">
        <w:rPr>
          <w:sz w:val="28"/>
          <w:szCs w:val="28"/>
        </w:rPr>
        <w:t xml:space="preserve"> оборудования, </w:t>
      </w:r>
      <w:r w:rsidRPr="0085143F">
        <w:rPr>
          <w:bCs/>
          <w:sz w:val="28"/>
          <w:szCs w:val="28"/>
        </w:rPr>
        <w:t xml:space="preserve">техническому перевооружению, демонтажу устаревшего и физически изношенного оборудования и монтажу нового, более производительного </w:t>
      </w:r>
      <w:r w:rsidRPr="0085143F">
        <w:rPr>
          <w:sz w:val="28"/>
          <w:szCs w:val="28"/>
        </w:rPr>
        <w:t>с повышением эксплуатационных показателей: надежности, экономичности, маневренности и ремонтопригодности.</w:t>
      </w:r>
    </w:p>
    <w:p w:rsidR="00FE1C88" w:rsidRPr="0085143F" w:rsidRDefault="00FE1C88" w:rsidP="008B4CED">
      <w:pPr>
        <w:pStyle w:val="a4"/>
        <w:ind w:right="-143"/>
        <w:rPr>
          <w:sz w:val="28"/>
          <w:szCs w:val="28"/>
        </w:rPr>
      </w:pPr>
      <w:r w:rsidRPr="0085143F">
        <w:rPr>
          <w:sz w:val="28"/>
          <w:szCs w:val="28"/>
        </w:rPr>
        <w:t>Выполненные работы позволили:</w:t>
      </w:r>
    </w:p>
    <w:p w:rsidR="00FE1C88" w:rsidRPr="0085143F" w:rsidRDefault="00FE1C88" w:rsidP="008B4CED">
      <w:pPr>
        <w:pStyle w:val="a4"/>
        <w:ind w:right="-143"/>
        <w:rPr>
          <w:sz w:val="28"/>
          <w:szCs w:val="28"/>
        </w:rPr>
      </w:pPr>
      <w:r w:rsidRPr="0085143F">
        <w:rPr>
          <w:sz w:val="28"/>
          <w:szCs w:val="28"/>
        </w:rPr>
        <w:t>- снизить тепловые потери с поверхности обмуровки;</w:t>
      </w:r>
    </w:p>
    <w:p w:rsidR="00FE1C88" w:rsidRPr="0085143F" w:rsidRDefault="00FE1C88" w:rsidP="008B4CED">
      <w:pPr>
        <w:pStyle w:val="a4"/>
        <w:ind w:right="-143"/>
        <w:rPr>
          <w:sz w:val="28"/>
          <w:szCs w:val="28"/>
        </w:rPr>
      </w:pPr>
      <w:r w:rsidRPr="0085143F">
        <w:rPr>
          <w:sz w:val="28"/>
          <w:szCs w:val="28"/>
        </w:rPr>
        <w:t>- повысить надежность и увеличить межремонтный период работы;</w:t>
      </w:r>
    </w:p>
    <w:p w:rsidR="00FE1C88" w:rsidRPr="0085143F" w:rsidRDefault="00FE1C88" w:rsidP="008B4CED">
      <w:pPr>
        <w:pStyle w:val="a4"/>
        <w:ind w:right="-143"/>
        <w:rPr>
          <w:sz w:val="28"/>
          <w:szCs w:val="28"/>
        </w:rPr>
      </w:pPr>
      <w:r w:rsidRPr="0085143F">
        <w:rPr>
          <w:sz w:val="28"/>
          <w:szCs w:val="28"/>
        </w:rPr>
        <w:t xml:space="preserve">- снизить удельный расход топлива для производства электроэнергии; </w:t>
      </w:r>
    </w:p>
    <w:p w:rsidR="00FE1C88" w:rsidRPr="0085143F" w:rsidRDefault="00FE1C88" w:rsidP="008B4CED">
      <w:pPr>
        <w:pStyle w:val="a4"/>
        <w:ind w:right="-143"/>
        <w:rPr>
          <w:sz w:val="28"/>
          <w:szCs w:val="28"/>
        </w:rPr>
      </w:pPr>
      <w:r w:rsidRPr="0085143F">
        <w:rPr>
          <w:sz w:val="28"/>
          <w:szCs w:val="28"/>
        </w:rPr>
        <w:t>- качественно изменить расход конденсата и питательной воды на впрысках котла при пусках и работе при различных нагрузках энергоблока, а также снизить перепад давления на регуляторах впрысков;</w:t>
      </w:r>
    </w:p>
    <w:p w:rsidR="00FE1C88" w:rsidRPr="0085143F" w:rsidRDefault="00FE1C88" w:rsidP="008B4CED">
      <w:pPr>
        <w:pStyle w:val="a4"/>
        <w:ind w:right="-143"/>
        <w:rPr>
          <w:sz w:val="28"/>
          <w:szCs w:val="28"/>
        </w:rPr>
      </w:pPr>
      <w:r w:rsidRPr="0085143F">
        <w:rPr>
          <w:sz w:val="28"/>
          <w:szCs w:val="28"/>
        </w:rPr>
        <w:t>- улучшить температурный режим работы турбогенератора;</w:t>
      </w:r>
    </w:p>
    <w:p w:rsidR="00FE1C88" w:rsidRPr="0085143F" w:rsidRDefault="00FE1C88" w:rsidP="008B4CED">
      <w:pPr>
        <w:pStyle w:val="a4"/>
        <w:ind w:right="-143"/>
        <w:rPr>
          <w:sz w:val="28"/>
          <w:szCs w:val="28"/>
        </w:rPr>
      </w:pPr>
      <w:r w:rsidRPr="0085143F">
        <w:rPr>
          <w:sz w:val="28"/>
          <w:szCs w:val="28"/>
        </w:rPr>
        <w:t>- снизить количество неплановых ремонтов;</w:t>
      </w:r>
    </w:p>
    <w:p w:rsidR="00FE1C88" w:rsidRPr="0085143F" w:rsidRDefault="00FE1C88" w:rsidP="008B4CED">
      <w:pPr>
        <w:pStyle w:val="a4"/>
        <w:ind w:right="-143"/>
        <w:rPr>
          <w:sz w:val="28"/>
          <w:szCs w:val="28"/>
        </w:rPr>
      </w:pPr>
      <w:r w:rsidRPr="0085143F">
        <w:rPr>
          <w:sz w:val="26"/>
          <w:szCs w:val="26"/>
        </w:rPr>
        <w:t>- увеличить ресурс работы арматуры системы охлаждения, более чем в 3 раза.</w:t>
      </w:r>
    </w:p>
    <w:p w:rsidR="00FE1C88" w:rsidRPr="008B4CED" w:rsidRDefault="00FE1C88" w:rsidP="008B4CED">
      <w:pPr>
        <w:pStyle w:val="a3"/>
        <w:tabs>
          <w:tab w:val="left" w:pos="993"/>
        </w:tabs>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Финансирование всех мероприятий по техническому перевооружению в 2015 году составило 703 828 тыс.рублей. </w:t>
      </w:r>
    </w:p>
    <w:p w:rsidR="00FE1C88" w:rsidRPr="008B4CED" w:rsidRDefault="00FE1C88" w:rsidP="008B4CED">
      <w:pPr>
        <w:ind w:firstLine="567"/>
        <w:jc w:val="both"/>
        <w:rPr>
          <w:rFonts w:ascii="Times New Roman" w:eastAsia="Times New Roman" w:hAnsi="Times New Roman" w:cs="Times New Roman"/>
          <w:i/>
          <w:sz w:val="28"/>
          <w:szCs w:val="28"/>
        </w:rPr>
      </w:pPr>
      <w:r w:rsidRPr="008B4CED">
        <w:rPr>
          <w:rFonts w:ascii="Times New Roman" w:hAnsi="Times New Roman" w:cs="Times New Roman"/>
          <w:bCs/>
          <w:i/>
          <w:sz w:val="28"/>
          <w:szCs w:val="28"/>
        </w:rPr>
        <w:t xml:space="preserve">5. Проект «ЛЭП 110 </w:t>
      </w:r>
      <w:proofErr w:type="spellStart"/>
      <w:r w:rsidRPr="008B4CED">
        <w:rPr>
          <w:rFonts w:ascii="Times New Roman" w:hAnsi="Times New Roman" w:cs="Times New Roman"/>
          <w:bCs/>
          <w:i/>
          <w:sz w:val="28"/>
          <w:szCs w:val="28"/>
        </w:rPr>
        <w:t>кВ</w:t>
      </w:r>
      <w:proofErr w:type="spellEnd"/>
      <w:r w:rsidRPr="008B4CED">
        <w:rPr>
          <w:rFonts w:ascii="Times New Roman" w:hAnsi="Times New Roman" w:cs="Times New Roman"/>
          <w:bCs/>
          <w:i/>
          <w:sz w:val="28"/>
          <w:szCs w:val="28"/>
        </w:rPr>
        <w:t xml:space="preserve"> «Победа-Сайма».</w:t>
      </w:r>
    </w:p>
    <w:p w:rsidR="00FE1C88" w:rsidRPr="0085143F" w:rsidRDefault="00FE1C88" w:rsidP="00FE1C88">
      <w:pPr>
        <w:pStyle w:val="2"/>
        <w:tabs>
          <w:tab w:val="left" w:pos="993"/>
        </w:tabs>
        <w:spacing w:after="0" w:line="240" w:lineRule="auto"/>
        <w:ind w:left="0" w:firstLine="567"/>
        <w:jc w:val="both"/>
        <w:rPr>
          <w:bCs/>
          <w:sz w:val="28"/>
          <w:szCs w:val="28"/>
        </w:rPr>
      </w:pPr>
      <w:r w:rsidRPr="0085143F">
        <w:rPr>
          <w:bCs/>
          <w:color w:val="000000" w:themeColor="text1"/>
          <w:sz w:val="28"/>
          <w:szCs w:val="28"/>
        </w:rPr>
        <w:t>В соответствии с инвестиционной программой АО «Тюменьэнерго» на территории города Сургута</w:t>
      </w:r>
      <w:r w:rsidRPr="0085143F">
        <w:rPr>
          <w:bCs/>
          <w:sz w:val="28"/>
          <w:szCs w:val="28"/>
        </w:rPr>
        <w:t xml:space="preserve"> за счет собственных средств осуществляется реализация инвестиционного проекта «ЛЭП 110 </w:t>
      </w:r>
      <w:proofErr w:type="spellStart"/>
      <w:r w:rsidRPr="0085143F">
        <w:rPr>
          <w:bCs/>
          <w:sz w:val="28"/>
          <w:szCs w:val="28"/>
        </w:rPr>
        <w:t>кВ</w:t>
      </w:r>
      <w:proofErr w:type="spellEnd"/>
      <w:r w:rsidRPr="0085143F">
        <w:rPr>
          <w:bCs/>
          <w:sz w:val="28"/>
          <w:szCs w:val="28"/>
        </w:rPr>
        <w:t xml:space="preserve"> «Победа-Сайма». </w:t>
      </w:r>
      <w:r w:rsidRPr="0085143F">
        <w:rPr>
          <w:bCs/>
          <w:sz w:val="28"/>
          <w:szCs w:val="28"/>
        </w:rPr>
        <w:lastRenderedPageBreak/>
        <w:t xml:space="preserve">Финансирование проекта составит 794,8 млн. рублей. Фактическое завершение строительства объекта запланировано на 2019 год. </w:t>
      </w:r>
    </w:p>
    <w:p w:rsidR="00FE1C88" w:rsidRPr="008B4CED" w:rsidRDefault="00FE1C88" w:rsidP="008B4CED">
      <w:pPr>
        <w:widowControl w:val="0"/>
        <w:tabs>
          <w:tab w:val="left" w:pos="1134"/>
        </w:tabs>
        <w:ind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Реализация инвестиционного проекта «ЛЭП 110 </w:t>
      </w:r>
      <w:proofErr w:type="spellStart"/>
      <w:r w:rsidRPr="008B4CED">
        <w:rPr>
          <w:rFonts w:ascii="Times New Roman" w:hAnsi="Times New Roman" w:cs="Times New Roman"/>
          <w:sz w:val="28"/>
          <w:szCs w:val="28"/>
        </w:rPr>
        <w:t>кВ</w:t>
      </w:r>
      <w:proofErr w:type="spellEnd"/>
      <w:r w:rsidRPr="008B4CED">
        <w:rPr>
          <w:rFonts w:ascii="Times New Roman" w:hAnsi="Times New Roman" w:cs="Times New Roman"/>
          <w:sz w:val="28"/>
          <w:szCs w:val="28"/>
        </w:rPr>
        <w:t xml:space="preserve"> «Победа – Сайма» позволит привести схему электрической сети города в соответствие с нормативными требованиями, существенно повысит надежность электроснабжения потребителей и обеспечит возможность подключения дополнительных ПС 110 </w:t>
      </w:r>
      <w:proofErr w:type="spellStart"/>
      <w:r w:rsidRPr="008B4CED">
        <w:rPr>
          <w:rFonts w:ascii="Times New Roman" w:hAnsi="Times New Roman" w:cs="Times New Roman"/>
          <w:sz w:val="28"/>
          <w:szCs w:val="28"/>
        </w:rPr>
        <w:t>кВ</w:t>
      </w:r>
      <w:proofErr w:type="spellEnd"/>
      <w:r w:rsidRPr="008B4CED">
        <w:rPr>
          <w:rFonts w:ascii="Times New Roman" w:hAnsi="Times New Roman" w:cs="Times New Roman"/>
          <w:sz w:val="28"/>
          <w:szCs w:val="28"/>
        </w:rPr>
        <w:t xml:space="preserve"> для обеспечения отпуска мощности для электроснабжения вновь вводимых объектов. Данный проект обеспечит возможность вывода в ремонт оборудования существующих перегруженных подстанций без ввода ограничений потребления. Протяженность кабельной линии определяется проектно-изыскательскими работами, составляет по предварительным данным 5,0 км. </w:t>
      </w:r>
    </w:p>
    <w:p w:rsidR="00FE1C88" w:rsidRPr="008B4CED" w:rsidRDefault="00FE1C88" w:rsidP="008B4CED">
      <w:pPr>
        <w:widowControl w:val="0"/>
        <w:tabs>
          <w:tab w:val="left" w:pos="1134"/>
        </w:tabs>
        <w:ind w:firstLine="567"/>
        <w:jc w:val="both"/>
        <w:rPr>
          <w:rFonts w:ascii="Times New Roman" w:hAnsi="Times New Roman" w:cs="Times New Roman"/>
          <w:sz w:val="28"/>
          <w:szCs w:val="28"/>
        </w:rPr>
      </w:pPr>
      <w:r w:rsidRPr="008B4CED">
        <w:rPr>
          <w:rFonts w:ascii="Times New Roman" w:hAnsi="Times New Roman" w:cs="Times New Roman"/>
          <w:bCs/>
          <w:sz w:val="28"/>
          <w:szCs w:val="28"/>
        </w:rPr>
        <w:t>В 2015 году п</w:t>
      </w:r>
      <w:r w:rsidRPr="008B4CED">
        <w:rPr>
          <w:rFonts w:ascii="Times New Roman" w:hAnsi="Times New Roman" w:cs="Times New Roman"/>
          <w:sz w:val="28"/>
          <w:szCs w:val="28"/>
        </w:rPr>
        <w:t>родолжены работы по разработке и согласованию проектной документации. Завершение проектирования объекта планируется в 3 квартале 2016 года. Планируемая сумма освоения на 2015 год составляла 4 021 тыс. рублей, фактически освоено 2 490 тыс. рублей.</w:t>
      </w:r>
    </w:p>
    <w:p w:rsidR="00FE1C88" w:rsidRPr="008B4CED" w:rsidRDefault="00FE1C88" w:rsidP="008B4CED">
      <w:pPr>
        <w:widowControl w:val="0"/>
        <w:tabs>
          <w:tab w:val="left" w:pos="1134"/>
        </w:tabs>
        <w:ind w:firstLine="567"/>
        <w:jc w:val="both"/>
        <w:rPr>
          <w:rFonts w:ascii="Times New Roman" w:hAnsi="Times New Roman" w:cs="Times New Roman"/>
          <w:i/>
          <w:sz w:val="28"/>
          <w:szCs w:val="28"/>
        </w:rPr>
      </w:pPr>
      <w:r w:rsidRPr="008B4CED">
        <w:rPr>
          <w:rFonts w:ascii="Times New Roman" w:hAnsi="Times New Roman" w:cs="Times New Roman"/>
          <w:i/>
          <w:sz w:val="28"/>
          <w:szCs w:val="28"/>
        </w:rPr>
        <w:t xml:space="preserve">6. </w:t>
      </w:r>
      <w:r w:rsidRPr="008B4CED">
        <w:rPr>
          <w:rFonts w:ascii="Times New Roman" w:hAnsi="Times New Roman" w:cs="Times New Roman"/>
          <w:bCs/>
          <w:i/>
          <w:sz w:val="28"/>
          <w:szCs w:val="28"/>
        </w:rPr>
        <w:t xml:space="preserve">Проект «ПС 110/35/6 </w:t>
      </w:r>
      <w:proofErr w:type="spellStart"/>
      <w:r w:rsidRPr="008B4CED">
        <w:rPr>
          <w:rFonts w:ascii="Times New Roman" w:hAnsi="Times New Roman" w:cs="Times New Roman"/>
          <w:bCs/>
          <w:i/>
          <w:sz w:val="28"/>
          <w:szCs w:val="28"/>
        </w:rPr>
        <w:t>кВ</w:t>
      </w:r>
      <w:proofErr w:type="spellEnd"/>
      <w:r w:rsidRPr="008B4CED">
        <w:rPr>
          <w:rFonts w:ascii="Times New Roman" w:hAnsi="Times New Roman" w:cs="Times New Roman"/>
          <w:bCs/>
          <w:i/>
          <w:sz w:val="28"/>
          <w:szCs w:val="28"/>
        </w:rPr>
        <w:t xml:space="preserve"> Парковая с </w:t>
      </w:r>
      <w:proofErr w:type="gramStart"/>
      <w:r w:rsidRPr="008B4CED">
        <w:rPr>
          <w:rFonts w:ascii="Times New Roman" w:hAnsi="Times New Roman" w:cs="Times New Roman"/>
          <w:bCs/>
          <w:i/>
          <w:sz w:val="28"/>
          <w:szCs w:val="28"/>
        </w:rPr>
        <w:t>ВЛ</w:t>
      </w:r>
      <w:proofErr w:type="gramEnd"/>
      <w:r w:rsidRPr="008B4CED">
        <w:rPr>
          <w:rFonts w:ascii="Times New Roman" w:hAnsi="Times New Roman" w:cs="Times New Roman"/>
          <w:bCs/>
          <w:i/>
          <w:sz w:val="28"/>
          <w:szCs w:val="28"/>
        </w:rPr>
        <w:t xml:space="preserve"> 110 </w:t>
      </w:r>
      <w:proofErr w:type="spellStart"/>
      <w:r w:rsidRPr="008B4CED">
        <w:rPr>
          <w:rFonts w:ascii="Times New Roman" w:hAnsi="Times New Roman" w:cs="Times New Roman"/>
          <w:bCs/>
          <w:i/>
          <w:sz w:val="28"/>
          <w:szCs w:val="28"/>
        </w:rPr>
        <w:t>кВ</w:t>
      </w:r>
      <w:proofErr w:type="spellEnd"/>
      <w:r w:rsidRPr="008B4CED">
        <w:rPr>
          <w:rFonts w:ascii="Times New Roman" w:hAnsi="Times New Roman" w:cs="Times New Roman"/>
          <w:bCs/>
          <w:i/>
          <w:sz w:val="28"/>
          <w:szCs w:val="28"/>
        </w:rPr>
        <w:t>».</w:t>
      </w:r>
    </w:p>
    <w:p w:rsidR="00FE1C88" w:rsidRPr="008B4CED" w:rsidRDefault="00FE1C88" w:rsidP="008B4CED">
      <w:pPr>
        <w:pStyle w:val="a3"/>
        <w:ind w:left="0" w:firstLine="567"/>
        <w:jc w:val="both"/>
        <w:rPr>
          <w:rFonts w:ascii="Times New Roman" w:hAnsi="Times New Roman" w:cs="Times New Roman"/>
          <w:bCs/>
          <w:sz w:val="28"/>
          <w:szCs w:val="28"/>
        </w:rPr>
      </w:pPr>
      <w:r w:rsidRPr="008B4CED">
        <w:rPr>
          <w:rFonts w:ascii="Times New Roman" w:hAnsi="Times New Roman" w:cs="Times New Roman"/>
          <w:bCs/>
          <w:sz w:val="28"/>
          <w:szCs w:val="28"/>
        </w:rPr>
        <w:t>Согласно постановлению Администрации города от 02.11.2015 №7674 «Об утверждении плана мероприятий по реализации Стратегии социально-экономического развития муниципального образования городской округ город Сургут» срок реализации проекта 2015-2017 годы. В соответствии с внесенными изменениями в инвестиционную программу АО «Тюменьэнерго» от 30.09.2015, сроки реализации проекта перенесены на 2019-2020 годы.</w:t>
      </w:r>
    </w:p>
    <w:p w:rsidR="00FE1C88" w:rsidRPr="008B4CED" w:rsidRDefault="00FE1C88" w:rsidP="008B4CED">
      <w:pPr>
        <w:ind w:firstLine="567"/>
        <w:jc w:val="both"/>
        <w:rPr>
          <w:rFonts w:ascii="Times New Roman" w:hAnsi="Times New Roman" w:cs="Times New Roman"/>
          <w:bCs/>
          <w:sz w:val="28"/>
          <w:szCs w:val="28"/>
        </w:rPr>
      </w:pPr>
      <w:r w:rsidRPr="008B4CED">
        <w:rPr>
          <w:rFonts w:ascii="Times New Roman" w:hAnsi="Times New Roman" w:cs="Times New Roman"/>
          <w:bCs/>
          <w:sz w:val="28"/>
          <w:szCs w:val="28"/>
        </w:rPr>
        <w:t xml:space="preserve">Реализация проекта обеспечит гарантированный и качественный отпуск электроэнергии потребителю в полном объеме с характеристиками согласно ГОСТ, сведет до минимума потери, вызванные </w:t>
      </w:r>
      <w:proofErr w:type="spellStart"/>
      <w:r w:rsidRPr="008B4CED">
        <w:rPr>
          <w:rFonts w:ascii="Times New Roman" w:hAnsi="Times New Roman" w:cs="Times New Roman"/>
          <w:bCs/>
          <w:sz w:val="28"/>
          <w:szCs w:val="28"/>
        </w:rPr>
        <w:t>недоотпуском</w:t>
      </w:r>
      <w:proofErr w:type="spellEnd"/>
      <w:r w:rsidRPr="008B4CED">
        <w:rPr>
          <w:rFonts w:ascii="Times New Roman" w:hAnsi="Times New Roman" w:cs="Times New Roman"/>
          <w:bCs/>
          <w:sz w:val="28"/>
          <w:szCs w:val="28"/>
        </w:rPr>
        <w:t xml:space="preserve"> электроэнергии, снизит эксплуатационные и ремонтные затраты на </w:t>
      </w:r>
      <w:proofErr w:type="gramStart"/>
      <w:r w:rsidRPr="008B4CED">
        <w:rPr>
          <w:rFonts w:ascii="Times New Roman" w:hAnsi="Times New Roman" w:cs="Times New Roman"/>
          <w:bCs/>
          <w:sz w:val="28"/>
          <w:szCs w:val="28"/>
        </w:rPr>
        <w:t>действующих</w:t>
      </w:r>
      <w:proofErr w:type="gramEnd"/>
      <w:r w:rsidRPr="008B4CED">
        <w:rPr>
          <w:rFonts w:ascii="Times New Roman" w:hAnsi="Times New Roman" w:cs="Times New Roman"/>
          <w:bCs/>
          <w:sz w:val="28"/>
          <w:szCs w:val="28"/>
        </w:rPr>
        <w:t xml:space="preserve"> ПС данного </w:t>
      </w:r>
      <w:proofErr w:type="spellStart"/>
      <w:r w:rsidRPr="008B4CED">
        <w:rPr>
          <w:rFonts w:ascii="Times New Roman" w:hAnsi="Times New Roman" w:cs="Times New Roman"/>
          <w:bCs/>
          <w:sz w:val="28"/>
          <w:szCs w:val="28"/>
        </w:rPr>
        <w:t>энергоузла</w:t>
      </w:r>
      <w:proofErr w:type="spellEnd"/>
      <w:r w:rsidRPr="008B4CED">
        <w:rPr>
          <w:rFonts w:ascii="Times New Roman" w:hAnsi="Times New Roman" w:cs="Times New Roman"/>
          <w:bCs/>
          <w:sz w:val="28"/>
          <w:szCs w:val="28"/>
        </w:rPr>
        <w:t>. Прирост мощности составит 80 МВА и 1,5 км. Финансирование проекта составит 729 млн. рублей.</w:t>
      </w:r>
    </w:p>
    <w:p w:rsidR="00FE1C88" w:rsidRPr="008B4CED" w:rsidRDefault="00FE1C88" w:rsidP="008B4CED">
      <w:pPr>
        <w:pStyle w:val="a3"/>
        <w:numPr>
          <w:ilvl w:val="0"/>
          <w:numId w:val="4"/>
        </w:numPr>
        <w:tabs>
          <w:tab w:val="left" w:pos="0"/>
        </w:tabs>
        <w:spacing w:after="0" w:line="240" w:lineRule="auto"/>
        <w:ind w:left="0" w:firstLine="567"/>
        <w:jc w:val="both"/>
        <w:rPr>
          <w:rFonts w:ascii="Times New Roman" w:hAnsi="Times New Roman" w:cs="Times New Roman"/>
          <w:bCs/>
          <w:i/>
          <w:sz w:val="28"/>
          <w:szCs w:val="28"/>
        </w:rPr>
      </w:pPr>
      <w:r w:rsidRPr="008B4CED">
        <w:rPr>
          <w:rFonts w:ascii="Times New Roman" w:hAnsi="Times New Roman" w:cs="Times New Roman"/>
          <w:bCs/>
          <w:i/>
          <w:sz w:val="28"/>
          <w:szCs w:val="28"/>
        </w:rPr>
        <w:t>Создание благоприятных условий для развития инвестиционной деятельности и реализации проектов:</w:t>
      </w:r>
    </w:p>
    <w:p w:rsidR="00FE1C88" w:rsidRPr="008B4CED" w:rsidRDefault="00FE1C88" w:rsidP="008B4CED">
      <w:pPr>
        <w:pStyle w:val="a3"/>
        <w:numPr>
          <w:ilvl w:val="1"/>
          <w:numId w:val="4"/>
        </w:numPr>
        <w:tabs>
          <w:tab w:val="left" w:pos="993"/>
        </w:tabs>
        <w:spacing w:after="0" w:line="240" w:lineRule="auto"/>
        <w:jc w:val="both"/>
        <w:rPr>
          <w:rFonts w:ascii="Times New Roman" w:hAnsi="Times New Roman" w:cs="Times New Roman"/>
          <w:bCs/>
          <w:i/>
          <w:sz w:val="28"/>
          <w:szCs w:val="28"/>
        </w:rPr>
      </w:pPr>
      <w:r w:rsidRPr="008B4CED">
        <w:rPr>
          <w:rFonts w:ascii="Times New Roman" w:hAnsi="Times New Roman" w:cs="Times New Roman"/>
          <w:bCs/>
          <w:i/>
          <w:sz w:val="28"/>
          <w:szCs w:val="28"/>
        </w:rPr>
        <w:t xml:space="preserve">Модернизация Югорского завода строительных материалов. </w:t>
      </w:r>
    </w:p>
    <w:p w:rsidR="00FE1C88" w:rsidRPr="008B4CED" w:rsidRDefault="00FE1C88" w:rsidP="008B4CED">
      <w:pPr>
        <w:ind w:firstLine="567"/>
        <w:jc w:val="both"/>
        <w:rPr>
          <w:rFonts w:ascii="Times New Roman" w:hAnsi="Times New Roman" w:cs="Times New Roman"/>
          <w:bCs/>
          <w:sz w:val="28"/>
          <w:szCs w:val="28"/>
        </w:rPr>
      </w:pPr>
      <w:r w:rsidRPr="008B4CED">
        <w:rPr>
          <w:rFonts w:ascii="Times New Roman" w:hAnsi="Times New Roman" w:cs="Times New Roman"/>
          <w:bCs/>
          <w:sz w:val="28"/>
          <w:szCs w:val="28"/>
        </w:rPr>
        <w:t>В отчетном году произведена модернизация первой технологической линии производства товарного бетона и изготовления железобетонных изделий. Запуск технологической линии позволил использовать продукцию цементного завода для производства железобетонных изделий под маркой ООО «Югорский завод строительных материалов» для строительных организаций. Организовано 32 рабочих места. Объем инвестиций в модернизацию производства составил 48,4 млн. рублей.</w:t>
      </w:r>
    </w:p>
    <w:p w:rsidR="00FE1C88" w:rsidRPr="008B4CED" w:rsidRDefault="00FE1C88" w:rsidP="008B4CED">
      <w:pPr>
        <w:pStyle w:val="a3"/>
        <w:numPr>
          <w:ilvl w:val="1"/>
          <w:numId w:val="4"/>
        </w:numPr>
        <w:tabs>
          <w:tab w:val="left" w:pos="0"/>
        </w:tabs>
        <w:spacing w:after="0" w:line="240" w:lineRule="auto"/>
        <w:ind w:left="0" w:firstLine="567"/>
        <w:jc w:val="both"/>
        <w:rPr>
          <w:rFonts w:ascii="Times New Roman" w:hAnsi="Times New Roman" w:cs="Times New Roman"/>
          <w:bCs/>
          <w:i/>
          <w:sz w:val="28"/>
          <w:szCs w:val="28"/>
        </w:rPr>
      </w:pPr>
      <w:r w:rsidRPr="008B4CED">
        <w:rPr>
          <w:rFonts w:ascii="Times New Roman" w:hAnsi="Times New Roman" w:cs="Times New Roman"/>
          <w:bCs/>
          <w:i/>
          <w:sz w:val="28"/>
          <w:szCs w:val="28"/>
        </w:rPr>
        <w:lastRenderedPageBreak/>
        <w:t>Реконструкция Сургутского сельскохозяйственного предприятия «Северное».</w:t>
      </w:r>
    </w:p>
    <w:p w:rsidR="00FE1C88" w:rsidRPr="008B4CED" w:rsidRDefault="00FE1C88" w:rsidP="008B4CED">
      <w:pPr>
        <w:pStyle w:val="a3"/>
        <w:tabs>
          <w:tab w:val="left" w:pos="993"/>
        </w:tabs>
        <w:ind w:left="0" w:firstLine="567"/>
        <w:jc w:val="both"/>
        <w:rPr>
          <w:rFonts w:ascii="Times New Roman" w:hAnsi="Times New Roman" w:cs="Times New Roman"/>
          <w:bCs/>
          <w:sz w:val="28"/>
          <w:szCs w:val="28"/>
        </w:rPr>
      </w:pPr>
      <w:r w:rsidRPr="008B4CED">
        <w:rPr>
          <w:rFonts w:ascii="Times New Roman" w:hAnsi="Times New Roman" w:cs="Times New Roman"/>
          <w:bCs/>
          <w:sz w:val="28"/>
          <w:szCs w:val="28"/>
        </w:rPr>
        <w:t>В соответствии с распоряжением Администрации города от 27.11.2013 № 4177 (с последующими изменениями) СГМУСП «Северное» находится на стадии ликвидации. В ходе выполнения ликвидационных мероприятий был заключен договор купли-продажи имущества, находящегося в хозяйственном ведении СГМУСП «Северное», между ликвидационной комиссией СГМУСП «Северное» и ПАО «Птицефабрика Челябинская». В рамках действующего законодательства ПАО «Птицефабрика Челябинская» обратилась за выкупом земельных участков в собственность, находящихся под объектами недвижимости (договоры купли-продажи земельных участков от 16.07.2015 №2306 и 13.07.2015 №2307).</w:t>
      </w:r>
    </w:p>
    <w:p w:rsidR="00FE1C88" w:rsidRPr="008B4CED" w:rsidRDefault="00FE1C88" w:rsidP="008B4CED">
      <w:pPr>
        <w:pStyle w:val="a3"/>
        <w:numPr>
          <w:ilvl w:val="1"/>
          <w:numId w:val="4"/>
        </w:numPr>
        <w:tabs>
          <w:tab w:val="left" w:pos="0"/>
        </w:tabs>
        <w:spacing w:after="0" w:line="240" w:lineRule="auto"/>
        <w:jc w:val="both"/>
        <w:rPr>
          <w:rFonts w:ascii="Times New Roman" w:hAnsi="Times New Roman" w:cs="Times New Roman"/>
          <w:bCs/>
          <w:i/>
          <w:sz w:val="28"/>
          <w:szCs w:val="28"/>
        </w:rPr>
      </w:pPr>
      <w:r w:rsidRPr="008B4CED">
        <w:rPr>
          <w:rFonts w:ascii="Times New Roman" w:hAnsi="Times New Roman" w:cs="Times New Roman"/>
          <w:bCs/>
          <w:i/>
          <w:sz w:val="28"/>
          <w:szCs w:val="28"/>
        </w:rPr>
        <w:t>Иные проекты</w:t>
      </w:r>
    </w:p>
    <w:p w:rsidR="00FE1C88" w:rsidRPr="008B4CED" w:rsidRDefault="00FE1C88" w:rsidP="008B4CED">
      <w:pPr>
        <w:jc w:val="both"/>
        <w:rPr>
          <w:rFonts w:ascii="Times New Roman" w:hAnsi="Times New Roman" w:cs="Times New Roman"/>
          <w:bCs/>
          <w:sz w:val="28"/>
          <w:szCs w:val="28"/>
        </w:rPr>
      </w:pPr>
      <w:proofErr w:type="gramStart"/>
      <w:r w:rsidRPr="008B4CED">
        <w:rPr>
          <w:rFonts w:ascii="Times New Roman" w:hAnsi="Times New Roman" w:cs="Times New Roman"/>
          <w:bCs/>
          <w:sz w:val="28"/>
          <w:szCs w:val="28"/>
        </w:rPr>
        <w:t>В 2015 году государственная поддержка, предусмотренная законом Ханты-Мансийского автономного округа - Югры от 31.03.2012 №33-ОЗ "О государственной поддержке инвестиционной деятельности в Ханты-Мансийском автономном округе - Югре", по проектам «Создание завода по производству труб из композитных материалов», «Создание предприятия деревянного каркасного домостроения по технологии «NASCOR», «Создание завода по производству базальтового волокна и продукции из базальтового волокна» не оказывалась.</w:t>
      </w:r>
      <w:proofErr w:type="gramEnd"/>
      <w:r w:rsidRPr="008B4CED">
        <w:rPr>
          <w:rFonts w:ascii="Times New Roman" w:hAnsi="Times New Roman" w:cs="Times New Roman"/>
          <w:bCs/>
          <w:sz w:val="28"/>
          <w:szCs w:val="28"/>
        </w:rPr>
        <w:t xml:space="preserve"> Заявок на сопровождение данных инвестиционных проектов в соответствии с постановлением Правительства автономного округа от 27.12.2013 №590-п "О регламенте по сопровождению инвестиционных проектов </w:t>
      </w:r>
      <w:proofErr w:type="gramStart"/>
      <w:r w:rsidRPr="008B4CED">
        <w:rPr>
          <w:rFonts w:ascii="Times New Roman" w:hAnsi="Times New Roman" w:cs="Times New Roman"/>
          <w:bCs/>
          <w:sz w:val="28"/>
          <w:szCs w:val="28"/>
        </w:rPr>
        <w:t>в</w:t>
      </w:r>
      <w:proofErr w:type="gramEnd"/>
      <w:r w:rsidRPr="008B4CED">
        <w:rPr>
          <w:rFonts w:ascii="Times New Roman" w:hAnsi="Times New Roman" w:cs="Times New Roman"/>
          <w:bCs/>
          <w:sz w:val="28"/>
          <w:szCs w:val="28"/>
        </w:rPr>
        <w:t xml:space="preserve"> </w:t>
      </w:r>
      <w:proofErr w:type="gramStart"/>
      <w:r w:rsidRPr="008B4CED">
        <w:rPr>
          <w:rFonts w:ascii="Times New Roman" w:hAnsi="Times New Roman" w:cs="Times New Roman"/>
          <w:bCs/>
          <w:sz w:val="28"/>
          <w:szCs w:val="28"/>
        </w:rPr>
        <w:t>Ханты-Мансийском</w:t>
      </w:r>
      <w:proofErr w:type="gramEnd"/>
      <w:r w:rsidRPr="008B4CED">
        <w:rPr>
          <w:rFonts w:ascii="Times New Roman" w:hAnsi="Times New Roman" w:cs="Times New Roman"/>
          <w:bCs/>
          <w:sz w:val="28"/>
          <w:szCs w:val="28"/>
        </w:rPr>
        <w:t xml:space="preserve"> автономном округе - Югре" от инвесторов не поступало.</w:t>
      </w:r>
    </w:p>
    <w:p w:rsidR="00FE1C88" w:rsidRPr="008B4CED" w:rsidRDefault="00FE1C88" w:rsidP="008B4CED">
      <w:pPr>
        <w:pStyle w:val="a3"/>
        <w:numPr>
          <w:ilvl w:val="0"/>
          <w:numId w:val="4"/>
        </w:numPr>
        <w:tabs>
          <w:tab w:val="left" w:pos="0"/>
        </w:tabs>
        <w:spacing w:after="0" w:line="240" w:lineRule="auto"/>
        <w:ind w:left="0" w:firstLine="567"/>
        <w:jc w:val="both"/>
        <w:rPr>
          <w:rFonts w:ascii="Times New Roman" w:hAnsi="Times New Roman" w:cs="Times New Roman"/>
          <w:bCs/>
          <w:i/>
          <w:sz w:val="28"/>
          <w:szCs w:val="28"/>
        </w:rPr>
      </w:pPr>
      <w:r w:rsidRPr="008B4CED">
        <w:rPr>
          <w:rFonts w:ascii="Times New Roman" w:hAnsi="Times New Roman" w:cs="Times New Roman"/>
          <w:i/>
          <w:sz w:val="28"/>
          <w:szCs w:val="28"/>
        </w:rPr>
        <w:t xml:space="preserve">Организация и проведение мероприятий, направленных на улучшение условий труда, профилактику производственного травматизма и профессиональной заболеваемости. </w:t>
      </w:r>
    </w:p>
    <w:p w:rsidR="00FE1C88" w:rsidRPr="008B4CED" w:rsidRDefault="00FE1C88" w:rsidP="008B4CED">
      <w:pPr>
        <w:pStyle w:val="a3"/>
        <w:tabs>
          <w:tab w:val="left" w:pos="0"/>
        </w:tabs>
        <w:ind w:left="0" w:firstLine="567"/>
        <w:jc w:val="both"/>
        <w:rPr>
          <w:rFonts w:ascii="Times New Roman" w:hAnsi="Times New Roman" w:cs="Times New Roman"/>
          <w:bCs/>
          <w:sz w:val="28"/>
          <w:szCs w:val="28"/>
        </w:rPr>
      </w:pPr>
      <w:r w:rsidRPr="008B4CED">
        <w:rPr>
          <w:rFonts w:ascii="Times New Roman" w:hAnsi="Times New Roman" w:cs="Times New Roman"/>
          <w:bCs/>
          <w:sz w:val="28"/>
          <w:szCs w:val="28"/>
        </w:rPr>
        <w:t>В целях реализации вектора «Промышленность» в городе реализуется подпрограмма «Улучшение условий и охраны труда в городе Сургуте» муниципальной программы «Создание условий для развития муниципальной политики в отдельных секторах экономики города Сургута на 2014 - 2020 годы».</w:t>
      </w:r>
    </w:p>
    <w:p w:rsidR="00FE1C88" w:rsidRPr="0085143F" w:rsidRDefault="00FE1C88" w:rsidP="00FE1C88">
      <w:pPr>
        <w:pStyle w:val="a4"/>
        <w:tabs>
          <w:tab w:val="left" w:pos="851"/>
        </w:tabs>
        <w:ind w:firstLine="567"/>
        <w:rPr>
          <w:sz w:val="28"/>
          <w:szCs w:val="28"/>
        </w:rPr>
      </w:pPr>
      <w:r w:rsidRPr="0085143F">
        <w:rPr>
          <w:sz w:val="28"/>
          <w:szCs w:val="28"/>
        </w:rPr>
        <w:t>В 2015 году была продолжена работа по профилактике производственного травматизма и профессиональной заболеваемости в организациях города. В течение года осуществлялась информационная и разъяснительная работа, разработка методических рекомендаций, пособий, памяток по вопросам организации работы в области охраны труда (всего 43 наименования, были выпущены тиражом 3080 ед.).</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Организованы и проведены отраслевые и тематические </w:t>
      </w:r>
      <w:proofErr w:type="gramStart"/>
      <w:r w:rsidRPr="008B4CED">
        <w:rPr>
          <w:rFonts w:ascii="Times New Roman" w:hAnsi="Times New Roman" w:cs="Times New Roman"/>
          <w:sz w:val="28"/>
          <w:szCs w:val="28"/>
        </w:rPr>
        <w:t>семинар-совещания</w:t>
      </w:r>
      <w:proofErr w:type="gramEnd"/>
      <w:r w:rsidRPr="008B4CED">
        <w:rPr>
          <w:rFonts w:ascii="Times New Roman" w:hAnsi="Times New Roman" w:cs="Times New Roman"/>
          <w:sz w:val="28"/>
          <w:szCs w:val="28"/>
        </w:rPr>
        <w:t xml:space="preserve"> с представителями муниципальных организаций, среди </w:t>
      </w:r>
      <w:r w:rsidRPr="008B4CED">
        <w:rPr>
          <w:rFonts w:ascii="Times New Roman" w:hAnsi="Times New Roman" w:cs="Times New Roman"/>
          <w:sz w:val="28"/>
          <w:szCs w:val="28"/>
        </w:rPr>
        <w:lastRenderedPageBreak/>
        <w:t>организаций сферы строительства, транспорта, связи, торговли, ЖКХ и прочих организаций всех отраслей экономики, в том числе малого и среднего предпринимательства. Всего 31 мероприятие, количество участников свыше 1500 специалистов.</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Организовано и проведено 4 конкурсных мероприятия:</w:t>
      </w:r>
      <w:r w:rsidRPr="008B4CED">
        <w:rPr>
          <w:rFonts w:ascii="Times New Roman" w:hAnsi="Times New Roman" w:cs="Times New Roman"/>
          <w:b/>
          <w:sz w:val="28"/>
          <w:szCs w:val="28"/>
        </w:rPr>
        <w:t xml:space="preserve"> </w:t>
      </w:r>
      <w:r w:rsidRPr="008B4CED">
        <w:rPr>
          <w:rFonts w:ascii="Times New Roman" w:hAnsi="Times New Roman" w:cs="Times New Roman"/>
          <w:sz w:val="28"/>
          <w:szCs w:val="28"/>
        </w:rPr>
        <w:t>городской смотр-конкурс «Лучший специалист по охране труда – 2015»; городской месячник по охране труда «Безопасность труда в Сургуте - 2015»; городской конкурс детского рисунка «Охрана труда глазами детей»; интеллектуальный конкурс-викторина «Практика труда СИЗ», проведенного в рамках тематического семинара-совещания по вопросам безопасности труда при работе на высоте. Подготовлены материалы для участия победителей городского конкурса «Лучший специалист по охране труда – 2015» в окружном этапе конкурса.</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Организовано 7 выставок экспозиции средств индивидуальной защиты, смывающих и обезвреживающих сре</w:t>
      </w:r>
      <w:proofErr w:type="gramStart"/>
      <w:r w:rsidRPr="008B4CED">
        <w:rPr>
          <w:rFonts w:ascii="Times New Roman" w:hAnsi="Times New Roman" w:cs="Times New Roman"/>
          <w:sz w:val="28"/>
          <w:szCs w:val="28"/>
        </w:rPr>
        <w:t>дств с д</w:t>
      </w:r>
      <w:proofErr w:type="gramEnd"/>
      <w:r w:rsidRPr="008B4CED">
        <w:rPr>
          <w:rFonts w:ascii="Times New Roman" w:hAnsi="Times New Roman" w:cs="Times New Roman"/>
          <w:sz w:val="28"/>
          <w:szCs w:val="28"/>
        </w:rPr>
        <w:t>емонстрацией их эксплуатационных свойств; 1 выставка детского рисунка «Охрана труда глазами детей».</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Разработана и утверждена муниципальная программа «Улучшение условий и охраны труда в городе Сургуте на 2016-2030 годы» - постановление Администрации города Сургута от 11.12.2015 № 8611. Программные мероприятия направлены на совершенствование механизмов управления охраны труда на территории города, организационное обеспечение охраны труда, профилактику производственного травматизма и профессиональной заболеваемости. </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Осуществлялась работа по реализации мероприятий подпрограммы «Улучшение условий и охраны труда в городе Сургуте» муниципальной программы «Создание условий для развития муниципальной политики в отдельных секторах экономики города Сургута на 2014 - 2020 годы». Общая сумма финансирования затрат, планировавшаяся в 2015 году за счет средств местного бюджета на мероприятия подпрограммы, составляла 32 960,4 тыс. рублей, при этом освоено 31 046,26 тыс. рублей (94 % от запланированных средств).</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Организовано и проведено 2 заседания Межведомственной комиссии по охране труда.</w:t>
      </w:r>
      <w:r w:rsidRPr="008B4CED">
        <w:rPr>
          <w:rFonts w:ascii="Times New Roman" w:hAnsi="Times New Roman" w:cs="Times New Roman"/>
          <w:b/>
          <w:sz w:val="28"/>
          <w:szCs w:val="28"/>
        </w:rPr>
        <w:t xml:space="preserve">  </w:t>
      </w:r>
      <w:proofErr w:type="gramStart"/>
      <w:r w:rsidRPr="008B4CED">
        <w:rPr>
          <w:rFonts w:ascii="Times New Roman" w:hAnsi="Times New Roman" w:cs="Times New Roman"/>
          <w:sz w:val="28"/>
          <w:szCs w:val="28"/>
        </w:rPr>
        <w:t xml:space="preserve">На заседаниях были рассмотрены вопросы о состоянии производственного травматизма в организациях города, о проблемах и задачах в осуществлении надзорной деятельности в учреждениях социальной сферы   города Сургута, о реализации </w:t>
      </w:r>
      <w:r w:rsidRPr="008B4CED">
        <w:rPr>
          <w:rFonts w:ascii="Times New Roman" w:hAnsi="Times New Roman" w:cs="Times New Roman"/>
          <w:bCs/>
          <w:kern w:val="36"/>
          <w:sz w:val="28"/>
          <w:szCs w:val="28"/>
        </w:rPr>
        <w:t>Федерального закона РФ от 28.12.2013 № 426-ФЗ «О специальной оценке условий труда» на территории города, о</w:t>
      </w:r>
      <w:r w:rsidRPr="008B4CED">
        <w:rPr>
          <w:rFonts w:ascii="Times New Roman" w:hAnsi="Times New Roman" w:cs="Times New Roman"/>
          <w:sz w:val="28"/>
          <w:szCs w:val="28"/>
        </w:rPr>
        <w:t xml:space="preserve"> результатах проведенных городских мероприятий по охране труда, заслушивались руководители организаций, допустившие случаи травматизма по причине неудовлетворительной организации</w:t>
      </w:r>
      <w:proofErr w:type="gramEnd"/>
      <w:r w:rsidRPr="008B4CED">
        <w:rPr>
          <w:rFonts w:ascii="Times New Roman" w:hAnsi="Times New Roman" w:cs="Times New Roman"/>
          <w:sz w:val="28"/>
          <w:szCs w:val="28"/>
        </w:rPr>
        <w:t xml:space="preserve"> производства работ;</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lastRenderedPageBreak/>
        <w:t xml:space="preserve">В девяти учебных центрах города прошли обучение и проверку знаний по охране труда  8 432 человека. </w:t>
      </w:r>
    </w:p>
    <w:p w:rsidR="00FE1C88" w:rsidRPr="008B4CED" w:rsidRDefault="00FE1C88" w:rsidP="008B4CED">
      <w:pPr>
        <w:pStyle w:val="a3"/>
        <w:ind w:left="0" w:firstLine="567"/>
        <w:jc w:val="both"/>
        <w:rPr>
          <w:rFonts w:ascii="Times New Roman" w:hAnsi="Times New Roman" w:cs="Times New Roman"/>
          <w:color w:val="000000" w:themeColor="text1"/>
          <w:sz w:val="28"/>
          <w:szCs w:val="28"/>
        </w:rPr>
      </w:pPr>
      <w:r w:rsidRPr="008B4CED">
        <w:rPr>
          <w:rFonts w:ascii="Times New Roman" w:hAnsi="Times New Roman" w:cs="Times New Roman"/>
          <w:color w:val="000000" w:themeColor="text1"/>
          <w:sz w:val="28"/>
          <w:szCs w:val="28"/>
        </w:rPr>
        <w:t xml:space="preserve">Осуществлялась </w:t>
      </w:r>
      <w:r w:rsidRPr="008B4CED">
        <w:rPr>
          <w:rFonts w:ascii="Times New Roman" w:hAnsi="Times New Roman" w:cs="Times New Roman"/>
          <w:color w:val="000000" w:themeColor="text1"/>
          <w:spacing w:val="-1"/>
          <w:sz w:val="28"/>
          <w:szCs w:val="28"/>
        </w:rPr>
        <w:t xml:space="preserve">работа комиссии по расследованию несчастных случаев </w:t>
      </w:r>
      <w:r w:rsidRPr="008B4CED">
        <w:rPr>
          <w:rFonts w:ascii="Times New Roman" w:hAnsi="Times New Roman" w:cs="Times New Roman"/>
          <w:color w:val="000000" w:themeColor="text1"/>
          <w:sz w:val="28"/>
          <w:szCs w:val="28"/>
        </w:rPr>
        <w:t xml:space="preserve">(в том числе групповых), в результате которых один или несколько </w:t>
      </w:r>
      <w:r w:rsidRPr="008B4CED">
        <w:rPr>
          <w:rFonts w:ascii="Times New Roman" w:hAnsi="Times New Roman" w:cs="Times New Roman"/>
          <w:color w:val="000000" w:themeColor="text1"/>
          <w:spacing w:val="-1"/>
          <w:sz w:val="28"/>
          <w:szCs w:val="28"/>
        </w:rPr>
        <w:t xml:space="preserve">пострадавших получили тяжелые повреждения здоровья, и несчастных случаев </w:t>
      </w:r>
      <w:r w:rsidRPr="008B4CED">
        <w:rPr>
          <w:rFonts w:ascii="Times New Roman" w:hAnsi="Times New Roman" w:cs="Times New Roman"/>
          <w:color w:val="000000" w:themeColor="text1"/>
          <w:sz w:val="28"/>
          <w:szCs w:val="28"/>
        </w:rPr>
        <w:t xml:space="preserve">со смертельным исходом, происшедших в организациях города. </w:t>
      </w:r>
      <w:r w:rsidRPr="008B4CED">
        <w:rPr>
          <w:rFonts w:ascii="Times New Roman" w:hAnsi="Times New Roman" w:cs="Times New Roman"/>
          <w:color w:val="000000" w:themeColor="text1"/>
          <w:sz w:val="28"/>
          <w:szCs w:val="28"/>
        </w:rPr>
        <w:tab/>
      </w:r>
    </w:p>
    <w:p w:rsidR="00FE1C88" w:rsidRPr="008B4CED" w:rsidRDefault="00FE1C88" w:rsidP="008B4CED">
      <w:pPr>
        <w:pStyle w:val="a4"/>
        <w:rPr>
          <w:sz w:val="28"/>
          <w:szCs w:val="28"/>
        </w:rPr>
      </w:pPr>
      <w:r w:rsidRPr="008B4CED">
        <w:rPr>
          <w:sz w:val="28"/>
          <w:szCs w:val="28"/>
        </w:rPr>
        <w:t>В 2015 году коэффициент частоты травматизма на производстве по городу составил 0,19, при плановом значении 0,3. Реализация мероприятий, направленных на профилактику производственного травматизма позволила снизить уровень травматизма на производстве.</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За отчетный период произошло производственных несчастных случаев – 31 случай, пострадало – 35 человек, в том числе со смертельным исходом – 17 человек (2014 год - 44 случая, пострадало – 50 человек, из них 17 чел. были травмированы смертельно). Основными причинами</w:t>
      </w:r>
      <w:r w:rsidRPr="008B4CED">
        <w:rPr>
          <w:rFonts w:ascii="Times New Roman" w:hAnsi="Times New Roman" w:cs="Times New Roman"/>
          <w:b/>
          <w:i/>
          <w:sz w:val="28"/>
          <w:szCs w:val="28"/>
        </w:rPr>
        <w:t xml:space="preserve"> </w:t>
      </w:r>
      <w:r w:rsidRPr="008B4CED">
        <w:rPr>
          <w:rFonts w:ascii="Times New Roman" w:hAnsi="Times New Roman" w:cs="Times New Roman"/>
          <w:sz w:val="28"/>
          <w:szCs w:val="28"/>
        </w:rPr>
        <w:t>травматизма в организациях города являются: неудовлетворительная организация производства работ, нарушение правил дорожного движения, несовершенство технологического процесса, нарушение работниками трудового распорядка и дисциплины труда. Наибольшее количество несчастных случаев, к сожалению, традиционно происходит в нефтегазодобывающей промышленности и строительстве.</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В течение года подготовлены и направлены для размещения в средствах массовой информации 230 информационных материалов по вопросам улучшения условий и охраны труда, в том числе:</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   в печатных изданиях 36 статей; </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  телевидение – 142 проката (интервью, информационный ролик);</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  радио – 2;</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 на официальном интернет-сайте Администрации города 50 информаций по вопросам методического руководства в области охраны труда, опубликование материалов происходило также и  корпоративных сайтах градообразующих предприятий: ОАО «Сургутнефтегаз», ООО «Газпром </w:t>
      </w:r>
      <w:proofErr w:type="spellStart"/>
      <w:r w:rsidRPr="008B4CED">
        <w:rPr>
          <w:rFonts w:ascii="Times New Roman" w:hAnsi="Times New Roman" w:cs="Times New Roman"/>
          <w:sz w:val="28"/>
          <w:szCs w:val="28"/>
        </w:rPr>
        <w:t>трансгаз</w:t>
      </w:r>
      <w:proofErr w:type="spellEnd"/>
      <w:r w:rsidRPr="008B4CED">
        <w:rPr>
          <w:rFonts w:ascii="Times New Roman" w:hAnsi="Times New Roman" w:cs="Times New Roman"/>
          <w:sz w:val="28"/>
          <w:szCs w:val="28"/>
        </w:rPr>
        <w:t xml:space="preserve"> Сургут».  </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sz w:val="28"/>
          <w:szCs w:val="28"/>
        </w:rPr>
        <w:t xml:space="preserve">Проведено более 5000 консультаций работодателей и специалистов по вопросам применения законодательства об охране труда по каналам телефонной связи, при личном посещении организаций по приглашению работодателей.   </w:t>
      </w:r>
    </w:p>
    <w:p w:rsidR="00FE1C88" w:rsidRPr="008B4CED" w:rsidRDefault="00FE1C88" w:rsidP="008B4CED">
      <w:pPr>
        <w:pStyle w:val="a3"/>
        <w:ind w:left="0" w:firstLine="567"/>
        <w:jc w:val="both"/>
        <w:rPr>
          <w:rFonts w:ascii="Times New Roman" w:hAnsi="Times New Roman" w:cs="Times New Roman"/>
          <w:sz w:val="28"/>
          <w:szCs w:val="28"/>
        </w:rPr>
      </w:pPr>
      <w:r w:rsidRPr="008B4CED">
        <w:rPr>
          <w:rFonts w:ascii="Times New Roman" w:hAnsi="Times New Roman" w:cs="Times New Roman"/>
          <w:color w:val="000000"/>
          <w:sz w:val="28"/>
          <w:szCs w:val="28"/>
        </w:rPr>
        <w:t>Подготовлены ответы на обращения граждан (6 обращений) и юридических лиц (6 обращений).</w:t>
      </w:r>
    </w:p>
    <w:p w:rsidR="00FE1C88" w:rsidRPr="008B4CED" w:rsidRDefault="00FE1C88" w:rsidP="008B4CED">
      <w:pPr>
        <w:tabs>
          <w:tab w:val="left" w:pos="851"/>
        </w:tabs>
        <w:ind w:firstLine="720"/>
        <w:jc w:val="both"/>
        <w:rPr>
          <w:rFonts w:ascii="Times New Roman" w:hAnsi="Times New Roman" w:cs="Times New Roman"/>
          <w:sz w:val="28"/>
          <w:szCs w:val="28"/>
        </w:rPr>
      </w:pPr>
    </w:p>
    <w:p w:rsidR="00FE1C88" w:rsidRPr="008B4CED" w:rsidRDefault="00FE1C88" w:rsidP="008B4CED">
      <w:pPr>
        <w:tabs>
          <w:tab w:val="left" w:pos="851"/>
        </w:tabs>
        <w:ind w:firstLine="720"/>
        <w:jc w:val="both"/>
        <w:rPr>
          <w:rFonts w:ascii="Times New Roman" w:hAnsi="Times New Roman" w:cs="Times New Roman"/>
          <w:sz w:val="28"/>
          <w:szCs w:val="28"/>
        </w:rPr>
      </w:pPr>
      <w:r w:rsidRPr="008B4CED">
        <w:rPr>
          <w:rFonts w:ascii="Times New Roman" w:hAnsi="Times New Roman" w:cs="Times New Roman"/>
          <w:sz w:val="28"/>
          <w:szCs w:val="28"/>
        </w:rPr>
        <w:t xml:space="preserve">Подводя итоги, стоит отметить, что на увеличение фактических значений интегральных индексов по сравнению с плановым уровнем </w:t>
      </w:r>
      <w:r w:rsidRPr="008B4CED">
        <w:rPr>
          <w:rStyle w:val="a5"/>
          <w:rFonts w:ascii="Times New Roman" w:hAnsi="Times New Roman" w:cs="Times New Roman"/>
          <w:sz w:val="28"/>
          <w:szCs w:val="28"/>
        </w:rPr>
        <w:t xml:space="preserve">оказало </w:t>
      </w:r>
      <w:r w:rsidRPr="008B4CED">
        <w:rPr>
          <w:rStyle w:val="a5"/>
          <w:rFonts w:ascii="Times New Roman" w:hAnsi="Times New Roman" w:cs="Times New Roman"/>
          <w:sz w:val="28"/>
          <w:szCs w:val="28"/>
        </w:rPr>
        <w:lastRenderedPageBreak/>
        <w:t xml:space="preserve">влияние и изменение статистической отчётности по муниципальному образованию в соответствии с действующей методологией Росстата. Рост </w:t>
      </w:r>
      <w:r w:rsidRPr="008B4CED">
        <w:rPr>
          <w:rFonts w:ascii="Times New Roman" w:hAnsi="Times New Roman" w:cs="Times New Roman"/>
          <w:sz w:val="28"/>
          <w:szCs w:val="28"/>
        </w:rPr>
        <w:t>индекса динамики объемов промышленного производства составил 24%, индекса диверсификации экономики – 15%.</w:t>
      </w:r>
    </w:p>
    <w:p w:rsidR="00FE1C88" w:rsidRPr="0085143F" w:rsidRDefault="00FE1C88" w:rsidP="00FE1C88">
      <w:pPr>
        <w:pStyle w:val="a4"/>
        <w:rPr>
          <w:sz w:val="28"/>
          <w:szCs w:val="28"/>
        </w:rPr>
      </w:pPr>
      <w:r w:rsidRPr="0085143F">
        <w:rPr>
          <w:sz w:val="28"/>
          <w:szCs w:val="28"/>
        </w:rPr>
        <w:t xml:space="preserve">Несмотря на снижение объема инвестиций в основной капитал промышленных предприятий, фактический уровень индекса развития промышленности превысил плановый на 24%. На улучшение значения индекса оказало влияние сокращение числа несчастных случаев на производстве.  </w:t>
      </w:r>
    </w:p>
    <w:p w:rsidR="00FE1C88" w:rsidRDefault="00FE1C88" w:rsidP="00583557">
      <w:pPr>
        <w:tabs>
          <w:tab w:val="left" w:pos="851"/>
        </w:tabs>
        <w:spacing w:after="0" w:line="240" w:lineRule="auto"/>
        <w:ind w:firstLine="720"/>
        <w:jc w:val="both"/>
        <w:rPr>
          <w:rFonts w:ascii="Times New Roman" w:hAnsi="Times New Roman" w:cs="Times New Roman"/>
          <w:sz w:val="28"/>
          <w:szCs w:val="28"/>
        </w:rPr>
      </w:pPr>
      <w:r w:rsidRPr="008B4CED">
        <w:rPr>
          <w:rFonts w:ascii="Times New Roman" w:hAnsi="Times New Roman" w:cs="Times New Roman"/>
          <w:sz w:val="28"/>
          <w:szCs w:val="28"/>
        </w:rPr>
        <w:t>Таким образом, анализ достижения значений частных и интегральных индексов достижения целей Стратегии 2030 показал, что производственная сфера в городе сохраняет стабильность. Общий индекс по вектору «Промышленность» составил 78%, что в 1,4 раза превышает плановое значение 2015 года.</w:t>
      </w:r>
    </w:p>
    <w:p w:rsidR="00583557" w:rsidRDefault="00583557" w:rsidP="00583557">
      <w:pPr>
        <w:tabs>
          <w:tab w:val="left" w:pos="851"/>
        </w:tabs>
        <w:spacing w:after="0" w:line="240" w:lineRule="auto"/>
        <w:ind w:firstLine="720"/>
        <w:jc w:val="both"/>
        <w:rPr>
          <w:rFonts w:ascii="Times New Roman" w:hAnsi="Times New Roman" w:cs="Times New Roman"/>
          <w:sz w:val="28"/>
          <w:szCs w:val="28"/>
        </w:rPr>
      </w:pPr>
    </w:p>
    <w:p w:rsidR="00FE1C88" w:rsidRPr="00FE1C88" w:rsidRDefault="00FE1C88" w:rsidP="00583557">
      <w:pPr>
        <w:spacing w:after="0" w:line="240" w:lineRule="auto"/>
      </w:pPr>
    </w:p>
    <w:p w:rsidR="006D7B39" w:rsidRPr="008B4CED" w:rsidRDefault="006D7B39" w:rsidP="00583557">
      <w:pPr>
        <w:tabs>
          <w:tab w:val="left" w:pos="851"/>
        </w:tabs>
        <w:spacing w:after="0" w:line="240" w:lineRule="auto"/>
        <w:jc w:val="both"/>
        <w:rPr>
          <w:rFonts w:ascii="Times New Roman" w:hAnsi="Times New Roman" w:cs="Times New Roman"/>
          <w:sz w:val="28"/>
          <w:szCs w:val="28"/>
        </w:rPr>
      </w:pPr>
      <w:r w:rsidRPr="008B4CED">
        <w:rPr>
          <w:rFonts w:ascii="Times New Roman" w:hAnsi="Times New Roman" w:cs="Times New Roman"/>
          <w:sz w:val="28"/>
          <w:szCs w:val="28"/>
        </w:rPr>
        <w:t xml:space="preserve">Директор департамента </w:t>
      </w:r>
    </w:p>
    <w:p w:rsidR="006D7B39" w:rsidRPr="008B4CED" w:rsidRDefault="006D7B39" w:rsidP="00583557">
      <w:pPr>
        <w:tabs>
          <w:tab w:val="left" w:pos="851"/>
        </w:tabs>
        <w:spacing w:after="0" w:line="240" w:lineRule="auto"/>
        <w:jc w:val="both"/>
        <w:rPr>
          <w:rFonts w:ascii="Times New Roman" w:hAnsi="Times New Roman" w:cs="Times New Roman"/>
          <w:sz w:val="28"/>
          <w:szCs w:val="28"/>
        </w:rPr>
      </w:pPr>
      <w:r w:rsidRPr="008B4CED">
        <w:rPr>
          <w:rFonts w:ascii="Times New Roman" w:hAnsi="Times New Roman" w:cs="Times New Roman"/>
          <w:sz w:val="28"/>
          <w:szCs w:val="28"/>
        </w:rPr>
        <w:t>по экономической политике                                                           Ю.Г. Королёва</w:t>
      </w:r>
    </w:p>
    <w:p w:rsidR="00FE1C88" w:rsidRDefault="00FE1C88">
      <w:bookmarkStart w:id="0" w:name="_GoBack"/>
      <w:bookmarkEnd w:id="0"/>
    </w:p>
    <w:sectPr w:rsidR="00FE1C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ADF" w:rsidRDefault="00E04ADF" w:rsidP="00FE1C88">
      <w:pPr>
        <w:spacing w:after="0" w:line="240" w:lineRule="auto"/>
      </w:pPr>
      <w:r>
        <w:separator/>
      </w:r>
    </w:p>
  </w:endnote>
  <w:endnote w:type="continuationSeparator" w:id="0">
    <w:p w:rsidR="00E04ADF" w:rsidRDefault="00E04ADF" w:rsidP="00FE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ADF" w:rsidRDefault="00E04ADF" w:rsidP="00FE1C88">
      <w:pPr>
        <w:spacing w:after="0" w:line="240" w:lineRule="auto"/>
      </w:pPr>
      <w:r>
        <w:separator/>
      </w:r>
    </w:p>
  </w:footnote>
  <w:footnote w:type="continuationSeparator" w:id="0">
    <w:p w:rsidR="00E04ADF" w:rsidRDefault="00E04ADF" w:rsidP="00FE1C88">
      <w:pPr>
        <w:spacing w:after="0" w:line="240" w:lineRule="auto"/>
      </w:pPr>
      <w:r>
        <w:continuationSeparator/>
      </w:r>
    </w:p>
  </w:footnote>
  <w:footnote w:id="1">
    <w:p w:rsidR="00FE1C88" w:rsidRDefault="00FE1C88" w:rsidP="00FE1C88">
      <w:pPr>
        <w:pStyle w:val="a6"/>
      </w:pPr>
      <w:r>
        <w:rPr>
          <w:rStyle w:val="a8"/>
        </w:rPr>
        <w:footnoteRef/>
      </w:r>
      <w:r>
        <w:t xml:space="preserve"> </w:t>
      </w:r>
      <w:r w:rsidRPr="00883BE3">
        <w:t>http://www.gazprom.ru/about/subsidiaries/news/2014/december/article208961/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00BC2"/>
    <w:multiLevelType w:val="hybridMultilevel"/>
    <w:tmpl w:val="8294F99A"/>
    <w:lvl w:ilvl="0" w:tplc="A70262B2">
      <w:start w:val="1"/>
      <w:numFmt w:val="decimal"/>
      <w:lvlText w:val="%1."/>
      <w:lvlJc w:val="left"/>
      <w:pPr>
        <w:ind w:left="831" w:hanging="405"/>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7743E4F"/>
    <w:multiLevelType w:val="hybridMultilevel"/>
    <w:tmpl w:val="506EF9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11526B"/>
    <w:multiLevelType w:val="hybridMultilevel"/>
    <w:tmpl w:val="ECF28B6E"/>
    <w:lvl w:ilvl="0" w:tplc="0419000F">
      <w:start w:val="1"/>
      <w:numFmt w:val="decimal"/>
      <w:lvlText w:val="%1."/>
      <w:lvlJc w:val="left"/>
      <w:pPr>
        <w:ind w:left="720" w:hanging="360"/>
      </w:pPr>
      <w:rPr>
        <w:rFonts w:hint="default"/>
      </w:r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9F57D7"/>
    <w:multiLevelType w:val="hybridMultilevel"/>
    <w:tmpl w:val="1FEAA9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373962"/>
    <w:multiLevelType w:val="multilevel"/>
    <w:tmpl w:val="B3B49C06"/>
    <w:lvl w:ilvl="0">
      <w:start w:val="7"/>
      <w:numFmt w:val="decimal"/>
      <w:lvlText w:val="%1."/>
      <w:lvlJc w:val="left"/>
      <w:pPr>
        <w:ind w:left="135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76334A22"/>
    <w:multiLevelType w:val="hybridMultilevel"/>
    <w:tmpl w:val="9EBE7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BDD31F0"/>
    <w:multiLevelType w:val="hybridMultilevel"/>
    <w:tmpl w:val="03EE25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D0"/>
    <w:rsid w:val="00583557"/>
    <w:rsid w:val="006D7B39"/>
    <w:rsid w:val="008B4CED"/>
    <w:rsid w:val="008C50D0"/>
    <w:rsid w:val="009F7B7A"/>
    <w:rsid w:val="00AE2A49"/>
    <w:rsid w:val="00C256F9"/>
    <w:rsid w:val="00E04ADF"/>
    <w:rsid w:val="00F66EFE"/>
    <w:rsid w:val="00FD605C"/>
    <w:rsid w:val="00FE1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1C88"/>
    <w:pPr>
      <w:ind w:left="720"/>
      <w:contextualSpacing/>
    </w:pPr>
  </w:style>
  <w:style w:type="paragraph" w:styleId="a4">
    <w:name w:val="Normal (Web)"/>
    <w:basedOn w:val="a"/>
    <w:uiPriority w:val="99"/>
    <w:rsid w:val="00FE1C88"/>
    <w:pPr>
      <w:spacing w:after="0" w:line="240" w:lineRule="auto"/>
      <w:ind w:firstLine="539"/>
      <w:jc w:val="both"/>
    </w:pPr>
    <w:rPr>
      <w:rFonts w:ascii="Times New Roman" w:eastAsia="Cambria" w:hAnsi="Times New Roman" w:cs="Times New Roman"/>
      <w:kern w:val="20"/>
      <w:sz w:val="24"/>
      <w:szCs w:val="24"/>
      <w:lang w:eastAsia="ru-RU"/>
    </w:rPr>
  </w:style>
  <w:style w:type="paragraph" w:styleId="2">
    <w:name w:val="Body Text Indent 2"/>
    <w:basedOn w:val="a"/>
    <w:link w:val="20"/>
    <w:uiPriority w:val="99"/>
    <w:unhideWhenUsed/>
    <w:rsid w:val="00FE1C88"/>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FE1C88"/>
    <w:rPr>
      <w:rFonts w:ascii="Times New Roman" w:eastAsia="Times New Roman" w:hAnsi="Times New Roman" w:cs="Times New Roman"/>
      <w:sz w:val="20"/>
      <w:szCs w:val="20"/>
      <w:lang w:eastAsia="ru-RU"/>
    </w:rPr>
  </w:style>
  <w:style w:type="character" w:styleId="a5">
    <w:name w:val="line number"/>
    <w:rsid w:val="00FE1C88"/>
  </w:style>
  <w:style w:type="paragraph" w:styleId="a6">
    <w:name w:val="footnote text"/>
    <w:basedOn w:val="a"/>
    <w:link w:val="a7"/>
    <w:uiPriority w:val="99"/>
    <w:semiHidden/>
    <w:unhideWhenUsed/>
    <w:rsid w:val="00FE1C88"/>
    <w:pPr>
      <w:spacing w:after="0" w:line="240" w:lineRule="auto"/>
      <w:ind w:firstLine="539"/>
      <w:jc w:val="both"/>
    </w:pPr>
    <w:rPr>
      <w:rFonts w:ascii="Times New Roman" w:eastAsia="Cambria" w:hAnsi="Times New Roman" w:cs="Times New Roman"/>
      <w:kern w:val="20"/>
      <w:sz w:val="20"/>
      <w:szCs w:val="20"/>
      <w:lang w:eastAsia="ru-RU"/>
    </w:rPr>
  </w:style>
  <w:style w:type="character" w:customStyle="1" w:styleId="a7">
    <w:name w:val="Текст сноски Знак"/>
    <w:basedOn w:val="a0"/>
    <w:link w:val="a6"/>
    <w:uiPriority w:val="99"/>
    <w:semiHidden/>
    <w:rsid w:val="00FE1C88"/>
    <w:rPr>
      <w:rFonts w:ascii="Times New Roman" w:eastAsia="Cambria" w:hAnsi="Times New Roman" w:cs="Times New Roman"/>
      <w:kern w:val="20"/>
      <w:sz w:val="20"/>
      <w:szCs w:val="20"/>
      <w:lang w:eastAsia="ru-RU"/>
    </w:rPr>
  </w:style>
  <w:style w:type="character" w:styleId="a8">
    <w:name w:val="footnote reference"/>
    <w:basedOn w:val="a0"/>
    <w:uiPriority w:val="99"/>
    <w:semiHidden/>
    <w:unhideWhenUsed/>
    <w:rsid w:val="00FE1C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1C88"/>
    <w:pPr>
      <w:ind w:left="720"/>
      <w:contextualSpacing/>
    </w:pPr>
  </w:style>
  <w:style w:type="paragraph" w:styleId="a4">
    <w:name w:val="Normal (Web)"/>
    <w:basedOn w:val="a"/>
    <w:uiPriority w:val="99"/>
    <w:rsid w:val="00FE1C88"/>
    <w:pPr>
      <w:spacing w:after="0" w:line="240" w:lineRule="auto"/>
      <w:ind w:firstLine="539"/>
      <w:jc w:val="both"/>
    </w:pPr>
    <w:rPr>
      <w:rFonts w:ascii="Times New Roman" w:eastAsia="Cambria" w:hAnsi="Times New Roman" w:cs="Times New Roman"/>
      <w:kern w:val="20"/>
      <w:sz w:val="24"/>
      <w:szCs w:val="24"/>
      <w:lang w:eastAsia="ru-RU"/>
    </w:rPr>
  </w:style>
  <w:style w:type="paragraph" w:styleId="2">
    <w:name w:val="Body Text Indent 2"/>
    <w:basedOn w:val="a"/>
    <w:link w:val="20"/>
    <w:uiPriority w:val="99"/>
    <w:unhideWhenUsed/>
    <w:rsid w:val="00FE1C88"/>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FE1C88"/>
    <w:rPr>
      <w:rFonts w:ascii="Times New Roman" w:eastAsia="Times New Roman" w:hAnsi="Times New Roman" w:cs="Times New Roman"/>
      <w:sz w:val="20"/>
      <w:szCs w:val="20"/>
      <w:lang w:eastAsia="ru-RU"/>
    </w:rPr>
  </w:style>
  <w:style w:type="character" w:styleId="a5">
    <w:name w:val="line number"/>
    <w:rsid w:val="00FE1C88"/>
  </w:style>
  <w:style w:type="paragraph" w:styleId="a6">
    <w:name w:val="footnote text"/>
    <w:basedOn w:val="a"/>
    <w:link w:val="a7"/>
    <w:uiPriority w:val="99"/>
    <w:semiHidden/>
    <w:unhideWhenUsed/>
    <w:rsid w:val="00FE1C88"/>
    <w:pPr>
      <w:spacing w:after="0" w:line="240" w:lineRule="auto"/>
      <w:ind w:firstLine="539"/>
      <w:jc w:val="both"/>
    </w:pPr>
    <w:rPr>
      <w:rFonts w:ascii="Times New Roman" w:eastAsia="Cambria" w:hAnsi="Times New Roman" w:cs="Times New Roman"/>
      <w:kern w:val="20"/>
      <w:sz w:val="20"/>
      <w:szCs w:val="20"/>
      <w:lang w:eastAsia="ru-RU"/>
    </w:rPr>
  </w:style>
  <w:style w:type="character" w:customStyle="1" w:styleId="a7">
    <w:name w:val="Текст сноски Знак"/>
    <w:basedOn w:val="a0"/>
    <w:link w:val="a6"/>
    <w:uiPriority w:val="99"/>
    <w:semiHidden/>
    <w:rsid w:val="00FE1C88"/>
    <w:rPr>
      <w:rFonts w:ascii="Times New Roman" w:eastAsia="Cambria" w:hAnsi="Times New Roman" w:cs="Times New Roman"/>
      <w:kern w:val="20"/>
      <w:sz w:val="20"/>
      <w:szCs w:val="20"/>
      <w:lang w:eastAsia="ru-RU"/>
    </w:rPr>
  </w:style>
  <w:style w:type="character" w:styleId="a8">
    <w:name w:val="footnote reference"/>
    <w:basedOn w:val="a0"/>
    <w:uiPriority w:val="99"/>
    <w:semiHidden/>
    <w:unhideWhenUsed/>
    <w:rsid w:val="00FE1C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Yulai</dc:creator>
  <cp:keywords/>
  <dc:description/>
  <cp:lastModifiedBy>User</cp:lastModifiedBy>
  <cp:revision>6</cp:revision>
  <dcterms:created xsi:type="dcterms:W3CDTF">2016-03-01T08:53:00Z</dcterms:created>
  <dcterms:modified xsi:type="dcterms:W3CDTF">2016-03-03T05:28:00Z</dcterms:modified>
</cp:coreProperties>
</file>