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F2" w:rsidRDefault="005D50F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D50F2" w:rsidRDefault="005D50F2">
      <w:pPr>
        <w:pStyle w:val="ConsPlusNormal"/>
        <w:jc w:val="both"/>
      </w:pPr>
    </w:p>
    <w:p w:rsidR="005D50F2" w:rsidRDefault="005D50F2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5D50F2" w:rsidRDefault="005D50F2">
      <w:pPr>
        <w:pStyle w:val="ConsPlusTitle"/>
        <w:jc w:val="center"/>
      </w:pPr>
    </w:p>
    <w:p w:rsidR="005D50F2" w:rsidRDefault="005D50F2">
      <w:pPr>
        <w:pStyle w:val="ConsPlusTitle"/>
        <w:jc w:val="center"/>
      </w:pPr>
      <w:r>
        <w:t>ПОСТАНОВЛЕНИЕ</w:t>
      </w:r>
    </w:p>
    <w:p w:rsidR="005D50F2" w:rsidRDefault="005D50F2">
      <w:pPr>
        <w:pStyle w:val="ConsPlusTitle"/>
        <w:jc w:val="center"/>
      </w:pPr>
      <w:r>
        <w:t>от 5 апреля 2012 г. N 132-п</w:t>
      </w:r>
    </w:p>
    <w:p w:rsidR="005D50F2" w:rsidRDefault="005D50F2">
      <w:pPr>
        <w:pStyle w:val="ConsPlusTitle"/>
        <w:jc w:val="center"/>
      </w:pPr>
    </w:p>
    <w:p w:rsidR="005D50F2" w:rsidRDefault="005D50F2">
      <w:pPr>
        <w:pStyle w:val="ConsPlusTitle"/>
        <w:jc w:val="center"/>
      </w:pPr>
      <w:r>
        <w:t>О КОНКУРСЕ ПРОЕКТОВ ПО ПРАВОВОМУ ПРОСВЕЩЕНИЮ,</w:t>
      </w:r>
    </w:p>
    <w:p w:rsidR="005D50F2" w:rsidRDefault="005D50F2">
      <w:pPr>
        <w:pStyle w:val="ConsPlusTitle"/>
        <w:jc w:val="center"/>
      </w:pPr>
      <w:r>
        <w:t>ПОВЫШЕНИЮ ПРАВОВОЙ ГРАМОТНОСТИ И ПРАВОСОЗНАНИЯ ГРАЖДАН,</w:t>
      </w:r>
    </w:p>
    <w:p w:rsidR="005D50F2" w:rsidRDefault="005D50F2">
      <w:pPr>
        <w:pStyle w:val="ConsPlusTitle"/>
        <w:jc w:val="center"/>
      </w:pPr>
      <w:r>
        <w:t>ИНФОРМИРОВАНИЮ ПО ПРАВОВЫМ ВОПРОСАМ И ЮРИДИЧЕСКОЙ ПОМОЩИ</w:t>
      </w:r>
    </w:p>
    <w:p w:rsidR="005D50F2" w:rsidRDefault="005D50F2">
      <w:pPr>
        <w:pStyle w:val="ConsPlusTitle"/>
        <w:jc w:val="center"/>
      </w:pPr>
      <w:r>
        <w:t>ГРАЖДАНАМ В ХАНТЫ-МАНСИЙСКОМ АВТОНОМНОМ ОКРУГЕ - ЮГРЕ</w:t>
      </w:r>
    </w:p>
    <w:p w:rsidR="005D50F2" w:rsidRDefault="005D50F2">
      <w:pPr>
        <w:pStyle w:val="ConsPlusNormal"/>
        <w:jc w:val="center"/>
      </w:pPr>
      <w:r>
        <w:t>Список изменяющих документов</w:t>
      </w:r>
    </w:p>
    <w:p w:rsidR="005D50F2" w:rsidRDefault="005D50F2">
      <w:pPr>
        <w:pStyle w:val="ConsPlusNormal"/>
        <w:jc w:val="center"/>
      </w:pPr>
      <w:r>
        <w:t>(в ред. постановлений Правительства ХМАО - Югры</w:t>
      </w:r>
    </w:p>
    <w:p w:rsidR="005D50F2" w:rsidRDefault="005D50F2">
      <w:pPr>
        <w:pStyle w:val="ConsPlusNormal"/>
        <w:jc w:val="center"/>
      </w:pPr>
      <w:r>
        <w:t xml:space="preserve">от 26.09.2013 </w:t>
      </w:r>
      <w:hyperlink r:id="rId5" w:history="1">
        <w:r>
          <w:rPr>
            <w:color w:val="0000FF"/>
          </w:rPr>
          <w:t>N 390-п</w:t>
        </w:r>
      </w:hyperlink>
      <w:r>
        <w:t xml:space="preserve">, от 21.03.2014 </w:t>
      </w:r>
      <w:hyperlink r:id="rId6" w:history="1">
        <w:r>
          <w:rPr>
            <w:color w:val="0000FF"/>
          </w:rPr>
          <w:t>N 98-п</w:t>
        </w:r>
      </w:hyperlink>
      <w:r>
        <w:t>,</w:t>
      </w:r>
    </w:p>
    <w:p w:rsidR="005D50F2" w:rsidRDefault="005D50F2">
      <w:pPr>
        <w:pStyle w:val="ConsPlusNormal"/>
        <w:jc w:val="center"/>
      </w:pPr>
      <w:r>
        <w:t xml:space="preserve">от 04.04.2014 </w:t>
      </w:r>
      <w:hyperlink r:id="rId7" w:history="1">
        <w:r>
          <w:rPr>
            <w:color w:val="0000FF"/>
          </w:rPr>
          <w:t>N 121-п</w:t>
        </w:r>
      </w:hyperlink>
      <w:r>
        <w:t xml:space="preserve">, от 06.02.2015 </w:t>
      </w:r>
      <w:hyperlink r:id="rId8" w:history="1">
        <w:r>
          <w:rPr>
            <w:color w:val="0000FF"/>
          </w:rPr>
          <w:t>N 21-п</w:t>
        </w:r>
      </w:hyperlink>
      <w:r>
        <w:t>)</w:t>
      </w:r>
    </w:p>
    <w:p w:rsidR="005D50F2" w:rsidRDefault="005D50F2">
      <w:pPr>
        <w:pStyle w:val="ConsPlusNormal"/>
        <w:jc w:val="center"/>
      </w:pPr>
    </w:p>
    <w:p w:rsidR="005D50F2" w:rsidRDefault="005D50F2">
      <w:pPr>
        <w:pStyle w:val="ConsPlusNormal"/>
        <w:ind w:firstLine="540"/>
        <w:jc w:val="both"/>
      </w:pPr>
      <w:r>
        <w:t xml:space="preserve">Руководствуясь </w:t>
      </w:r>
      <w:hyperlink r:id="rId9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</w:t>
      </w:r>
      <w:hyperlink r:id="rId11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19 ноября 2014 года N 88-оз "О бюджете Ханты-Мансийского автономного округа - Югры на 2015 год и на плановый период 2016 и 2017 годов", во исполнение </w:t>
      </w:r>
      <w:hyperlink r:id="rId12" w:history="1">
        <w:r>
          <w:rPr>
            <w:color w:val="0000FF"/>
          </w:rPr>
          <w:t>мероприятий</w:t>
        </w:r>
      </w:hyperlink>
      <w:r>
        <w:t xml:space="preserve"> государственной программы Ханты-Мансийского автономного округа - Югры "О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автономном округе - Югре в 2014 - 2020 годах", утвержденной постановлением Правительства Ханты-Мансийского автономного округа - Югры от 9 октября 2013 года N 428-п, Правительство Ханты-Мансийского автономного округа - Югры постановляет:</w:t>
      </w:r>
    </w:p>
    <w:p w:rsidR="005D50F2" w:rsidRDefault="005D50F2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06.02.2015 N 21-п)</w:t>
      </w:r>
    </w:p>
    <w:p w:rsidR="005D50F2" w:rsidRDefault="005D50F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конкурсе проектов по правовому просвещению, повышению правовой грамотности и правосознания граждан, информированию по правовым вопросам и юридической помощи гражданам в Ханты-Мансийском автономном округе - Югре.</w:t>
      </w:r>
    </w:p>
    <w:p w:rsidR="005D50F2" w:rsidRDefault="005D50F2">
      <w:pPr>
        <w:pStyle w:val="ConsPlusNormal"/>
        <w:ind w:firstLine="540"/>
        <w:jc w:val="both"/>
      </w:pPr>
      <w:bookmarkStart w:id="0" w:name="P18"/>
      <w:bookmarkEnd w:id="0"/>
      <w:r>
        <w:t xml:space="preserve">2. Финансирование расходов, связанных с реализацией настоящего постановления, осуществлять за счет средств бюджета Ханты-Мансийского автономного округа - Югры, предусмотренных государственной </w:t>
      </w:r>
      <w:hyperlink r:id="rId14" w:history="1">
        <w:r>
          <w:rPr>
            <w:color w:val="0000FF"/>
          </w:rPr>
          <w:t>программой</w:t>
        </w:r>
      </w:hyperlink>
      <w:r>
        <w:t xml:space="preserve"> Ханты-Мансийского автономного округа - Югры "О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автономном округе - Югре в 2014 - 2020 годах", утвержденной постановлением Правительства Ханты-Мансийского автономного округа - Югры от 9 октября 2013 года N 428-п.</w:t>
      </w:r>
    </w:p>
    <w:p w:rsidR="005D50F2" w:rsidRDefault="005D50F2">
      <w:pPr>
        <w:pStyle w:val="ConsPlusNormal"/>
        <w:jc w:val="both"/>
      </w:pPr>
      <w:r>
        <w:t xml:space="preserve">(в ред. постановлений Правительства ХМАО - Югры от 04.04.2014 </w:t>
      </w:r>
      <w:hyperlink r:id="rId15" w:history="1">
        <w:r>
          <w:rPr>
            <w:color w:val="0000FF"/>
          </w:rPr>
          <w:t>N 121-п</w:t>
        </w:r>
      </w:hyperlink>
      <w:r>
        <w:t xml:space="preserve">, от 06.02.2015 </w:t>
      </w:r>
      <w:hyperlink r:id="rId16" w:history="1">
        <w:r>
          <w:rPr>
            <w:color w:val="0000FF"/>
          </w:rPr>
          <w:t>N 21-п</w:t>
        </w:r>
      </w:hyperlink>
      <w:r>
        <w:t>)</w:t>
      </w:r>
    </w:p>
    <w:p w:rsidR="005D50F2" w:rsidRDefault="005D50F2">
      <w:pPr>
        <w:pStyle w:val="ConsPlusNormal"/>
        <w:ind w:firstLine="540"/>
        <w:jc w:val="both"/>
      </w:pPr>
      <w:r>
        <w:t>3. Опубликовать настоящее постановление в газете "Новости Югры".</w:t>
      </w:r>
    </w:p>
    <w:p w:rsidR="005D50F2" w:rsidRDefault="005D50F2">
      <w:pPr>
        <w:pStyle w:val="ConsPlusNormal"/>
        <w:ind w:firstLine="540"/>
        <w:jc w:val="both"/>
      </w:pPr>
    </w:p>
    <w:p w:rsidR="005D50F2" w:rsidRDefault="005D50F2">
      <w:pPr>
        <w:pStyle w:val="ConsPlusNormal"/>
        <w:jc w:val="right"/>
      </w:pPr>
      <w:r>
        <w:t>Губернатор</w:t>
      </w:r>
    </w:p>
    <w:p w:rsidR="005D50F2" w:rsidRDefault="005D50F2">
      <w:pPr>
        <w:pStyle w:val="ConsPlusNormal"/>
        <w:jc w:val="right"/>
      </w:pPr>
      <w:r>
        <w:t>Ханты-Мансийского</w:t>
      </w:r>
    </w:p>
    <w:p w:rsidR="005D50F2" w:rsidRDefault="005D50F2">
      <w:pPr>
        <w:pStyle w:val="ConsPlusNormal"/>
        <w:jc w:val="right"/>
      </w:pPr>
      <w:r>
        <w:t>автономного округа - Югры</w:t>
      </w:r>
    </w:p>
    <w:p w:rsidR="005D50F2" w:rsidRDefault="005D50F2">
      <w:pPr>
        <w:pStyle w:val="ConsPlusNormal"/>
        <w:jc w:val="right"/>
      </w:pPr>
      <w:r>
        <w:t>Н.В.КОМАРОВА</w:t>
      </w:r>
    </w:p>
    <w:p w:rsidR="005D50F2" w:rsidRDefault="005D50F2">
      <w:pPr>
        <w:pStyle w:val="ConsPlusNormal"/>
        <w:jc w:val="right"/>
      </w:pPr>
    </w:p>
    <w:p w:rsidR="005D50F2" w:rsidRDefault="005D50F2">
      <w:pPr>
        <w:pStyle w:val="ConsPlusNormal"/>
        <w:jc w:val="right"/>
      </w:pPr>
    </w:p>
    <w:p w:rsidR="005D50F2" w:rsidRDefault="005D50F2">
      <w:pPr>
        <w:pStyle w:val="ConsPlusNormal"/>
        <w:jc w:val="right"/>
      </w:pPr>
    </w:p>
    <w:p w:rsidR="005D50F2" w:rsidRDefault="005D50F2">
      <w:pPr>
        <w:pStyle w:val="ConsPlusNormal"/>
        <w:jc w:val="right"/>
      </w:pPr>
    </w:p>
    <w:p w:rsidR="005D50F2" w:rsidRDefault="005D50F2">
      <w:pPr>
        <w:pStyle w:val="ConsPlusNormal"/>
        <w:jc w:val="right"/>
      </w:pPr>
    </w:p>
    <w:p w:rsidR="005D50F2" w:rsidRDefault="005D50F2">
      <w:pPr>
        <w:pStyle w:val="ConsPlusNormal"/>
        <w:jc w:val="right"/>
      </w:pPr>
      <w:r>
        <w:lastRenderedPageBreak/>
        <w:t>Приложение</w:t>
      </w:r>
    </w:p>
    <w:p w:rsidR="005D50F2" w:rsidRDefault="005D50F2">
      <w:pPr>
        <w:pStyle w:val="ConsPlusNormal"/>
        <w:jc w:val="right"/>
      </w:pPr>
      <w:r>
        <w:t>к постановлению Правительства</w:t>
      </w:r>
    </w:p>
    <w:p w:rsidR="005D50F2" w:rsidRDefault="005D50F2">
      <w:pPr>
        <w:pStyle w:val="ConsPlusNormal"/>
        <w:jc w:val="right"/>
      </w:pPr>
      <w:r>
        <w:t>Ханты-Мансийского</w:t>
      </w:r>
    </w:p>
    <w:p w:rsidR="005D50F2" w:rsidRDefault="005D50F2">
      <w:pPr>
        <w:pStyle w:val="ConsPlusNormal"/>
        <w:jc w:val="right"/>
      </w:pPr>
      <w:r>
        <w:t>автономного округа - Югры</w:t>
      </w:r>
    </w:p>
    <w:p w:rsidR="005D50F2" w:rsidRDefault="005D50F2">
      <w:pPr>
        <w:pStyle w:val="ConsPlusNormal"/>
        <w:jc w:val="right"/>
      </w:pPr>
      <w:r>
        <w:t>от 5 апреля 2012 г. N 132-п</w:t>
      </w:r>
    </w:p>
    <w:p w:rsidR="005D50F2" w:rsidRDefault="005D50F2">
      <w:pPr>
        <w:pStyle w:val="ConsPlusNormal"/>
        <w:ind w:firstLine="540"/>
        <w:jc w:val="both"/>
      </w:pPr>
    </w:p>
    <w:p w:rsidR="005D50F2" w:rsidRDefault="005D50F2">
      <w:pPr>
        <w:pStyle w:val="ConsPlusTitle"/>
        <w:jc w:val="center"/>
      </w:pPr>
      <w:bookmarkStart w:id="1" w:name="P37"/>
      <w:bookmarkEnd w:id="1"/>
      <w:r>
        <w:t>ПОЛОЖЕНИЕ</w:t>
      </w:r>
    </w:p>
    <w:p w:rsidR="005D50F2" w:rsidRDefault="005D50F2">
      <w:pPr>
        <w:pStyle w:val="ConsPlusTitle"/>
        <w:jc w:val="center"/>
      </w:pPr>
      <w:r>
        <w:t>О КОНКУРСЕ ПРОЕКТОВ ПО ПРАВОВОМУ ПРОСВЕЩЕНИЮ,</w:t>
      </w:r>
    </w:p>
    <w:p w:rsidR="005D50F2" w:rsidRDefault="005D50F2">
      <w:pPr>
        <w:pStyle w:val="ConsPlusTitle"/>
        <w:jc w:val="center"/>
      </w:pPr>
      <w:r>
        <w:t>ПОВЫШЕНИЮ ПРАВОВОЙ ГРАМОТНОСТИ И ПРАВОСОЗНАНИЯ ГРАЖДАН,</w:t>
      </w:r>
    </w:p>
    <w:p w:rsidR="005D50F2" w:rsidRDefault="005D50F2">
      <w:pPr>
        <w:pStyle w:val="ConsPlusTitle"/>
        <w:jc w:val="center"/>
      </w:pPr>
      <w:r>
        <w:t>ИНФОРМИРОВАНИЮ ПО ПРАВОВЫМ ВОПРОСАМ И ЮРИДИЧЕСКОЙ ПОМОЩИ</w:t>
      </w:r>
    </w:p>
    <w:p w:rsidR="005D50F2" w:rsidRDefault="005D50F2">
      <w:pPr>
        <w:pStyle w:val="ConsPlusTitle"/>
        <w:jc w:val="center"/>
      </w:pPr>
      <w:r>
        <w:t>ГРАЖДАНАМ В ХАНТЫ-МАНСИЙСКОМ АВТОНОМНОМ ОКРУГЕ - ЮГРЕ</w:t>
      </w:r>
    </w:p>
    <w:p w:rsidR="005D50F2" w:rsidRDefault="005D50F2">
      <w:pPr>
        <w:pStyle w:val="ConsPlusTitle"/>
        <w:jc w:val="center"/>
      </w:pPr>
      <w:r>
        <w:t>(ДАЛЕЕ - ПОЛОЖЕНИЕ)</w:t>
      </w:r>
    </w:p>
    <w:p w:rsidR="005D50F2" w:rsidRDefault="005D50F2">
      <w:pPr>
        <w:pStyle w:val="ConsPlusNormal"/>
        <w:jc w:val="center"/>
      </w:pPr>
      <w:r>
        <w:t>Список изменяющих документов</w:t>
      </w:r>
    </w:p>
    <w:p w:rsidR="005D50F2" w:rsidRDefault="005D50F2">
      <w:pPr>
        <w:pStyle w:val="ConsPlusNormal"/>
        <w:jc w:val="center"/>
      </w:pPr>
      <w:r>
        <w:t>(в ред. постановлений Правительства ХМАО - Югры</w:t>
      </w:r>
    </w:p>
    <w:p w:rsidR="005D50F2" w:rsidRDefault="005D50F2">
      <w:pPr>
        <w:pStyle w:val="ConsPlusNormal"/>
        <w:jc w:val="center"/>
      </w:pPr>
      <w:r>
        <w:t xml:space="preserve">от 26.09.2013 </w:t>
      </w:r>
      <w:hyperlink r:id="rId17" w:history="1">
        <w:r>
          <w:rPr>
            <w:color w:val="0000FF"/>
          </w:rPr>
          <w:t>N 390-п</w:t>
        </w:r>
      </w:hyperlink>
      <w:r>
        <w:t xml:space="preserve">, от 21.03.2014 </w:t>
      </w:r>
      <w:hyperlink r:id="rId18" w:history="1">
        <w:r>
          <w:rPr>
            <w:color w:val="0000FF"/>
          </w:rPr>
          <w:t>N 98-п</w:t>
        </w:r>
      </w:hyperlink>
      <w:r>
        <w:t>,</w:t>
      </w:r>
    </w:p>
    <w:p w:rsidR="005D50F2" w:rsidRDefault="005D50F2">
      <w:pPr>
        <w:pStyle w:val="ConsPlusNormal"/>
        <w:jc w:val="center"/>
      </w:pPr>
      <w:r>
        <w:t xml:space="preserve">от 04.04.2014 </w:t>
      </w:r>
      <w:hyperlink r:id="rId19" w:history="1">
        <w:r>
          <w:rPr>
            <w:color w:val="0000FF"/>
          </w:rPr>
          <w:t>N 121-п</w:t>
        </w:r>
      </w:hyperlink>
      <w:r>
        <w:t xml:space="preserve">, от 06.02.2015 </w:t>
      </w:r>
      <w:hyperlink r:id="rId20" w:history="1">
        <w:r>
          <w:rPr>
            <w:color w:val="0000FF"/>
          </w:rPr>
          <w:t>N 21-п</w:t>
        </w:r>
      </w:hyperlink>
      <w:r>
        <w:t>)</w:t>
      </w:r>
    </w:p>
    <w:p w:rsidR="005D50F2" w:rsidRDefault="005D50F2">
      <w:pPr>
        <w:pStyle w:val="ConsPlusNormal"/>
        <w:ind w:firstLine="540"/>
        <w:jc w:val="both"/>
      </w:pPr>
    </w:p>
    <w:p w:rsidR="005D50F2" w:rsidRDefault="005D50F2">
      <w:pPr>
        <w:pStyle w:val="ConsPlusNormal"/>
        <w:ind w:firstLine="540"/>
        <w:jc w:val="both"/>
      </w:pPr>
      <w:r>
        <w:t>1. Организатором конкурса проектов по правовому просвещению, повышению правовой грамотности и правосознания граждан, информированию по правовым вопросам и юридической помощи гражданам в Ханты-Мансийском автономном округе - Югре (далее - Конкурс) является Департамент внутренней политики Ханты-Мансийского автономного округа - Югры (далее - Департамент).</w:t>
      </w:r>
    </w:p>
    <w:p w:rsidR="005D50F2" w:rsidRDefault="005D50F2">
      <w:pPr>
        <w:pStyle w:val="ConsPlusNormal"/>
        <w:ind w:firstLine="540"/>
        <w:jc w:val="both"/>
      </w:pPr>
      <w:r>
        <w:t>2. Конкурс проводится заочно, один раз в год, с 1 июля по 30 сентября текущего года.</w:t>
      </w:r>
    </w:p>
    <w:p w:rsidR="005D50F2" w:rsidRDefault="005D50F2">
      <w:pPr>
        <w:pStyle w:val="ConsPlusNormal"/>
        <w:ind w:firstLine="540"/>
        <w:jc w:val="both"/>
      </w:pPr>
      <w:r>
        <w:t>3. Конкурс проводится в целях повышения правовой грамотности и правосознания граждан, развития условий для оказания юридической помощи гражданам в Ханты-Мансийском автономном округе - Югре.</w:t>
      </w:r>
    </w:p>
    <w:p w:rsidR="005D50F2" w:rsidRDefault="005D50F2">
      <w:pPr>
        <w:pStyle w:val="ConsPlusNormal"/>
        <w:ind w:firstLine="540"/>
        <w:jc w:val="both"/>
      </w:pPr>
      <w:r>
        <w:t>4. Задачи Конкурса:</w:t>
      </w:r>
    </w:p>
    <w:p w:rsidR="005D50F2" w:rsidRDefault="005D50F2">
      <w:pPr>
        <w:pStyle w:val="ConsPlusNormal"/>
        <w:ind w:firstLine="540"/>
        <w:jc w:val="both"/>
      </w:pPr>
      <w:r>
        <w:t>4.1. Развитие негосударственных форм, применяемых для повышения правовой грамотности и правосознания граждан, для информирования по правовым вопросам оказания юридической помощи гражданам.</w:t>
      </w:r>
    </w:p>
    <w:p w:rsidR="005D50F2" w:rsidRDefault="005D50F2">
      <w:pPr>
        <w:pStyle w:val="ConsPlusNormal"/>
        <w:ind w:firstLine="540"/>
        <w:jc w:val="both"/>
      </w:pPr>
      <w:r>
        <w:t>4.2. Поддержка проектов по правовому информированию, просвещению, повышению правовой грамотности, правосознания граждан и оказанию юридической помощи гражданам.</w:t>
      </w:r>
    </w:p>
    <w:p w:rsidR="005D50F2" w:rsidRDefault="005D50F2">
      <w:pPr>
        <w:pStyle w:val="ConsPlusNormal"/>
        <w:ind w:firstLine="540"/>
        <w:jc w:val="both"/>
      </w:pPr>
      <w:bookmarkStart w:id="2" w:name="P54"/>
      <w:bookmarkEnd w:id="2"/>
      <w:r>
        <w:t xml:space="preserve">5. Участники Конкурса - социально ориентированные некоммерческие организации (за исключением государственных и муниципальных учреждений), зарегистрированные в Ханты-Мансийском автономном округе - Югре, осуществляющие деятельность в области правового информирования, просвещения, повышения правовой грамотности и правосознания граждан, оказания юридической помощи гражданам в Ханты-Мансийском автономном округе - Югре (далее - участники Конкурса), отвечающие условиям, установленным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Югре".</w:t>
      </w:r>
    </w:p>
    <w:p w:rsidR="005D50F2" w:rsidRDefault="005D50F2">
      <w:pPr>
        <w:pStyle w:val="ConsPlusNormal"/>
        <w:ind w:firstLine="540"/>
        <w:jc w:val="both"/>
      </w:pPr>
      <w:r>
        <w:t>6. Сообщение о проведении Конкурса размещается Департаментом в средствах массовой информации и на едином официальном сайте государственных органов Ханты-Мансийского автономного округа - Югры.</w:t>
      </w:r>
    </w:p>
    <w:p w:rsidR="005D50F2" w:rsidRDefault="005D50F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26.09.2013 N 390-п)</w:t>
      </w:r>
    </w:p>
    <w:p w:rsidR="005D50F2" w:rsidRDefault="005D50F2">
      <w:pPr>
        <w:pStyle w:val="ConsPlusNormal"/>
        <w:ind w:firstLine="540"/>
        <w:jc w:val="both"/>
      </w:pPr>
      <w:bookmarkStart w:id="3" w:name="P57"/>
      <w:bookmarkEnd w:id="3"/>
      <w:r>
        <w:t>7. Для участия в Конкурсе претенденты в течение тридцати календарных дней с момента размещения в средствах массовой информации и на едином официальном сайте государственных органов Ханты-Мансийского автономного округа - Югры сообщения о проведении Конкурса направляют в Департамент следующие документы:</w:t>
      </w:r>
    </w:p>
    <w:p w:rsidR="005D50F2" w:rsidRDefault="005D50F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26.09.2013 N 390-п)</w:t>
      </w:r>
    </w:p>
    <w:p w:rsidR="005D50F2" w:rsidRDefault="005D50F2">
      <w:pPr>
        <w:pStyle w:val="ConsPlusNormal"/>
        <w:ind w:firstLine="540"/>
        <w:jc w:val="both"/>
      </w:pPr>
      <w:r>
        <w:t>7.1. Заявку на участие в Конкурсе (далее - заявка) по форме, утвержденной Департаментом.</w:t>
      </w:r>
    </w:p>
    <w:p w:rsidR="005D50F2" w:rsidRDefault="005D50F2">
      <w:pPr>
        <w:pStyle w:val="ConsPlusNormal"/>
        <w:ind w:firstLine="540"/>
        <w:jc w:val="both"/>
      </w:pPr>
      <w:r>
        <w:t>7.2. Проект, оформленный в соответствии с требованиями, установленными в настоящем Положении.</w:t>
      </w:r>
    </w:p>
    <w:p w:rsidR="005D50F2" w:rsidRDefault="005D50F2">
      <w:pPr>
        <w:pStyle w:val="ConsPlusNormal"/>
        <w:ind w:firstLine="540"/>
        <w:jc w:val="both"/>
      </w:pPr>
      <w:r>
        <w:t>7.3. Нотариально заверенные копии учредительных документов.</w:t>
      </w:r>
    </w:p>
    <w:p w:rsidR="005D50F2" w:rsidRDefault="005D50F2">
      <w:pPr>
        <w:pStyle w:val="ConsPlusNormal"/>
        <w:ind w:firstLine="540"/>
        <w:jc w:val="both"/>
      </w:pPr>
      <w:r>
        <w:lastRenderedPageBreak/>
        <w:t>7.4. Выписку из Единого государственного реестра юридических лиц.</w:t>
      </w:r>
    </w:p>
    <w:p w:rsidR="005D50F2" w:rsidRDefault="005D50F2">
      <w:pPr>
        <w:pStyle w:val="ConsPlusNormal"/>
        <w:ind w:firstLine="540"/>
        <w:jc w:val="both"/>
      </w:pPr>
      <w:r>
        <w:t>7.5. Нотариально заверенные копии документов о постановке на учет в налоговом органе по месту нахождения.</w:t>
      </w:r>
    </w:p>
    <w:p w:rsidR="005D50F2" w:rsidRDefault="005D50F2">
      <w:pPr>
        <w:pStyle w:val="ConsPlusNormal"/>
        <w:ind w:firstLine="540"/>
        <w:jc w:val="both"/>
      </w:pPr>
      <w:r>
        <w:t>7.6. Справку об отсутствии задолженности по начисленным налогам, сборам и иным обязательным платежам в бюджеты любого уровня.</w:t>
      </w:r>
    </w:p>
    <w:p w:rsidR="005D50F2" w:rsidRDefault="005D50F2">
      <w:pPr>
        <w:pStyle w:val="ConsPlusNormal"/>
        <w:ind w:firstLine="540"/>
        <w:jc w:val="both"/>
      </w:pPr>
      <w:r>
        <w:t xml:space="preserve">8. Документы, представленные претендентами по истечении срока, указанного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настоящего Положения, не рассматриваются и в течение пяти рабочих дней со дня их поступления в Департамент возвращаются претендентам, с указанием в сопроводительном письме на нарушение срока подачи документов.</w:t>
      </w:r>
    </w:p>
    <w:p w:rsidR="005D50F2" w:rsidRDefault="005D50F2">
      <w:pPr>
        <w:pStyle w:val="ConsPlusNormal"/>
        <w:ind w:firstLine="540"/>
        <w:jc w:val="both"/>
      </w:pPr>
      <w:r>
        <w:t xml:space="preserve">9. Документы, указанные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настоящего Положения, рассматриваются конкурсной комиссией в течение десяти рабочих дней со дня окончания их приема.</w:t>
      </w:r>
    </w:p>
    <w:p w:rsidR="005D50F2" w:rsidRDefault="005D50F2">
      <w:pPr>
        <w:pStyle w:val="ConsPlusNormal"/>
        <w:ind w:firstLine="540"/>
        <w:jc w:val="both"/>
      </w:pPr>
      <w:r>
        <w:t>Несоответствие заявки и приложенных к ней документов требованиям, установленным настоящим Положением, является основанием для отказа в допуске претендента к участию в Конкурсе.</w:t>
      </w:r>
    </w:p>
    <w:p w:rsidR="005D50F2" w:rsidRDefault="005D50F2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26.09.2013 N 390-п)</w:t>
      </w:r>
    </w:p>
    <w:p w:rsidR="005D50F2" w:rsidRDefault="005D50F2">
      <w:pPr>
        <w:pStyle w:val="ConsPlusNormal"/>
        <w:ind w:firstLine="540"/>
        <w:jc w:val="both"/>
      </w:pPr>
      <w:r>
        <w:t xml:space="preserve">10. В случае если на Конкурс представлены документы, указанные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настоящего Положения, только одним </w:t>
      </w:r>
      <w:proofErr w:type="gramStart"/>
      <w:r>
        <w:t>претендентом</w:t>
      </w:r>
      <w:proofErr w:type="gramEnd"/>
      <w:r>
        <w:t xml:space="preserve"> и они отвечают установленным настоящим Положением требованиям, такой претендент признается участником и победителем Конкурса.</w:t>
      </w:r>
    </w:p>
    <w:p w:rsidR="005D50F2" w:rsidRDefault="005D50F2">
      <w:pPr>
        <w:pStyle w:val="ConsPlusNormal"/>
        <w:ind w:firstLine="540"/>
        <w:jc w:val="both"/>
      </w:pPr>
      <w:r>
        <w:t>11. Конкурс признается не состоявшимся в случаях:</w:t>
      </w:r>
    </w:p>
    <w:p w:rsidR="005D50F2" w:rsidRDefault="005D50F2">
      <w:pPr>
        <w:pStyle w:val="ConsPlusNormal"/>
        <w:ind w:firstLine="540"/>
        <w:jc w:val="both"/>
      </w:pPr>
      <w:r>
        <w:t>11.1. Отсутствия заявок на участие в Конкурсе.</w:t>
      </w:r>
    </w:p>
    <w:p w:rsidR="005D50F2" w:rsidRDefault="005D50F2">
      <w:pPr>
        <w:pStyle w:val="ConsPlusNormal"/>
        <w:ind w:firstLine="540"/>
        <w:jc w:val="both"/>
      </w:pPr>
      <w:r>
        <w:t xml:space="preserve">11.2. Принятия конкурсной комиссией решения о том, что ни один из претендентов не соответствует установленным </w:t>
      </w:r>
      <w:hyperlink w:anchor="P54" w:history="1">
        <w:r>
          <w:rPr>
            <w:color w:val="0000FF"/>
          </w:rPr>
          <w:t>пунктом 5</w:t>
        </w:r>
      </w:hyperlink>
      <w:r>
        <w:t xml:space="preserve"> настоящего Положения требованиям.</w:t>
      </w:r>
    </w:p>
    <w:p w:rsidR="005D50F2" w:rsidRDefault="005D50F2">
      <w:pPr>
        <w:pStyle w:val="ConsPlusNormal"/>
        <w:ind w:firstLine="540"/>
        <w:jc w:val="both"/>
      </w:pPr>
      <w:r>
        <w:t xml:space="preserve">11.3. Непредставления всеми претендентами документов, указанных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настоящего Положения.</w:t>
      </w:r>
    </w:p>
    <w:p w:rsidR="005D50F2" w:rsidRDefault="005D50F2">
      <w:pPr>
        <w:pStyle w:val="ConsPlusNormal"/>
        <w:ind w:firstLine="540"/>
        <w:jc w:val="both"/>
      </w:pPr>
      <w:r>
        <w:t>12. Информация о победителях Конкурса размещается Департаментом в средствах массовой информации и на едином официальном сайте государственных органов Ханты-Мансийского автономного округа - Югры в течение пяти дней с момента принятия решения конкурсной комиссией.</w:t>
      </w:r>
    </w:p>
    <w:p w:rsidR="005D50F2" w:rsidRDefault="005D50F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26.09.2013 N 390-п)</w:t>
      </w:r>
    </w:p>
    <w:p w:rsidR="005D50F2" w:rsidRDefault="005D50F2">
      <w:pPr>
        <w:pStyle w:val="ConsPlusNormal"/>
        <w:ind w:firstLine="540"/>
        <w:jc w:val="both"/>
      </w:pPr>
      <w:r>
        <w:t xml:space="preserve">13. Победитель Конкурса получает субсидию в соответствии с доведенными лимитами бюджетных ассигнований на </w:t>
      </w:r>
      <w:hyperlink r:id="rId26" w:history="1">
        <w:r>
          <w:rPr>
            <w:color w:val="0000FF"/>
          </w:rPr>
          <w:t>мероприятие 6.1</w:t>
        </w:r>
      </w:hyperlink>
      <w:r>
        <w:t xml:space="preserve"> "Проведение конкурса проектов по правовому просвещению, повышению правовой грамотности и правосознания граждан, информированию по правовым вопросам и юридической помощи гражданам в Ханты-Мансийском автономном округе - Югре среди социально ориентированных некоммерческих организаций" государственной программы, указанной в </w:t>
      </w:r>
      <w:hyperlink w:anchor="P18" w:history="1">
        <w:r>
          <w:rPr>
            <w:color w:val="0000FF"/>
          </w:rPr>
          <w:t>пункте 2</w:t>
        </w:r>
      </w:hyperlink>
      <w:r>
        <w:t xml:space="preserve"> настоящего постановления, на соответствующий год.</w:t>
      </w:r>
    </w:p>
    <w:p w:rsidR="005D50F2" w:rsidRDefault="005D50F2">
      <w:pPr>
        <w:pStyle w:val="ConsPlusNormal"/>
        <w:jc w:val="both"/>
      </w:pPr>
      <w:r>
        <w:t xml:space="preserve">(п. 13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06.02.2015 N 21-п)</w:t>
      </w:r>
    </w:p>
    <w:p w:rsidR="005D50F2" w:rsidRDefault="005D50F2">
      <w:pPr>
        <w:pStyle w:val="ConsPlusNormal"/>
        <w:ind w:firstLine="540"/>
        <w:jc w:val="both"/>
      </w:pPr>
      <w:r>
        <w:t>14. В случае если проекты участников Конкурса наберут равное количество баллов, общий размер субсидии делится между ними поровну.</w:t>
      </w:r>
    </w:p>
    <w:p w:rsidR="005D50F2" w:rsidRDefault="005D50F2">
      <w:pPr>
        <w:pStyle w:val="ConsPlusNormal"/>
        <w:ind w:firstLine="540"/>
        <w:jc w:val="both"/>
      </w:pPr>
      <w:r>
        <w:t>15. Проект, представленный участником на Конкурс, должен содержать следующие разделы:</w:t>
      </w:r>
    </w:p>
    <w:p w:rsidR="005D50F2" w:rsidRDefault="005D50F2">
      <w:pPr>
        <w:pStyle w:val="ConsPlusNormal"/>
        <w:ind w:firstLine="540"/>
        <w:jc w:val="both"/>
      </w:pPr>
      <w:r>
        <w:t>15.1. Обоснование социальной значимости, актуальности и результативности:</w:t>
      </w:r>
    </w:p>
    <w:p w:rsidR="005D50F2" w:rsidRDefault="005D50F2">
      <w:pPr>
        <w:pStyle w:val="ConsPlusNormal"/>
        <w:ind w:firstLine="540"/>
        <w:jc w:val="both"/>
      </w:pPr>
      <w:r>
        <w:t>цели и задачи проекта;</w:t>
      </w:r>
    </w:p>
    <w:p w:rsidR="005D50F2" w:rsidRDefault="005D50F2">
      <w:pPr>
        <w:pStyle w:val="ConsPlusNormal"/>
        <w:ind w:firstLine="540"/>
        <w:jc w:val="both"/>
      </w:pPr>
      <w:r>
        <w:t>сроки реализации проекта;</w:t>
      </w:r>
    </w:p>
    <w:p w:rsidR="005D50F2" w:rsidRDefault="005D50F2">
      <w:pPr>
        <w:pStyle w:val="ConsPlusNormal"/>
        <w:ind w:firstLine="540"/>
        <w:jc w:val="both"/>
      </w:pPr>
      <w:r>
        <w:t>целевые группы;</w:t>
      </w:r>
    </w:p>
    <w:p w:rsidR="005D50F2" w:rsidRDefault="005D50F2">
      <w:pPr>
        <w:pStyle w:val="ConsPlusNormal"/>
        <w:ind w:firstLine="540"/>
        <w:jc w:val="both"/>
      </w:pPr>
      <w:r>
        <w:t>планируемые достижения и результаты;</w:t>
      </w:r>
    </w:p>
    <w:p w:rsidR="005D50F2" w:rsidRDefault="005D50F2">
      <w:pPr>
        <w:pStyle w:val="ConsPlusNormal"/>
        <w:ind w:firstLine="540"/>
        <w:jc w:val="both"/>
      </w:pPr>
      <w:r>
        <w:t>достигнутые результаты (промежуточные результаты) в ходе реализации проекта;</w:t>
      </w:r>
    </w:p>
    <w:p w:rsidR="005D50F2" w:rsidRDefault="005D50F2">
      <w:pPr>
        <w:pStyle w:val="ConsPlusNormal"/>
        <w:ind w:firstLine="540"/>
        <w:jc w:val="both"/>
      </w:pPr>
      <w:r>
        <w:t>имеющиеся проблемы в реализации проекта.</w:t>
      </w:r>
    </w:p>
    <w:p w:rsidR="005D50F2" w:rsidRDefault="005D50F2">
      <w:pPr>
        <w:pStyle w:val="ConsPlusNormal"/>
        <w:ind w:firstLine="540"/>
        <w:jc w:val="both"/>
      </w:pPr>
      <w:r>
        <w:t>15.2. Описание проекта:</w:t>
      </w:r>
    </w:p>
    <w:p w:rsidR="005D50F2" w:rsidRDefault="005D50F2">
      <w:pPr>
        <w:pStyle w:val="ConsPlusNormal"/>
        <w:ind w:firstLine="540"/>
        <w:jc w:val="both"/>
      </w:pPr>
      <w:r>
        <w:t>технологии, формы работы, механизм реализации проекта;</w:t>
      </w:r>
    </w:p>
    <w:p w:rsidR="005D50F2" w:rsidRDefault="005D50F2">
      <w:pPr>
        <w:pStyle w:val="ConsPlusNormal"/>
        <w:ind w:firstLine="540"/>
        <w:jc w:val="both"/>
      </w:pPr>
      <w:r>
        <w:t>мероприятия проекта и сроки их реализации;</w:t>
      </w:r>
    </w:p>
    <w:p w:rsidR="005D50F2" w:rsidRDefault="005D50F2">
      <w:pPr>
        <w:pStyle w:val="ConsPlusNormal"/>
        <w:ind w:firstLine="540"/>
        <w:jc w:val="both"/>
      </w:pPr>
      <w:r>
        <w:t>имеющийся опыт применения технологии, формы работы, механизма реализации проекта.</w:t>
      </w:r>
    </w:p>
    <w:p w:rsidR="005D50F2" w:rsidRDefault="005D50F2">
      <w:pPr>
        <w:pStyle w:val="ConsPlusNormal"/>
        <w:ind w:firstLine="540"/>
        <w:jc w:val="both"/>
      </w:pPr>
      <w:r>
        <w:t>15.3. Кадровое обеспечение:</w:t>
      </w:r>
    </w:p>
    <w:p w:rsidR="005D50F2" w:rsidRDefault="005D50F2">
      <w:pPr>
        <w:pStyle w:val="ConsPlusNormal"/>
        <w:ind w:firstLine="540"/>
        <w:jc w:val="both"/>
      </w:pPr>
      <w:r>
        <w:t>количество членов организации, участвующих в реализации проекта;</w:t>
      </w:r>
    </w:p>
    <w:p w:rsidR="005D50F2" w:rsidRDefault="005D50F2">
      <w:pPr>
        <w:pStyle w:val="ConsPlusNormal"/>
        <w:ind w:firstLine="540"/>
        <w:jc w:val="both"/>
      </w:pPr>
      <w:r>
        <w:t>опыт работы участников проекта, их образование.</w:t>
      </w:r>
    </w:p>
    <w:p w:rsidR="005D50F2" w:rsidRDefault="005D50F2">
      <w:pPr>
        <w:pStyle w:val="ConsPlusNormal"/>
        <w:ind w:firstLine="540"/>
        <w:jc w:val="both"/>
      </w:pPr>
      <w:r>
        <w:t>15.4. Финансово-экономическое обоснование:</w:t>
      </w:r>
    </w:p>
    <w:p w:rsidR="005D50F2" w:rsidRDefault="005D50F2">
      <w:pPr>
        <w:pStyle w:val="ConsPlusNormal"/>
        <w:ind w:firstLine="540"/>
        <w:jc w:val="both"/>
      </w:pPr>
      <w:r>
        <w:lastRenderedPageBreak/>
        <w:t>информация о материально-техническом оснащении организации, на базе которой предполагается реализация проекта;</w:t>
      </w:r>
    </w:p>
    <w:p w:rsidR="005D50F2" w:rsidRDefault="005D50F2">
      <w:pPr>
        <w:pStyle w:val="ConsPlusNormal"/>
        <w:ind w:firstLine="540"/>
        <w:jc w:val="both"/>
      </w:pPr>
      <w:r>
        <w:t>затраты, источники финансирования.</w:t>
      </w:r>
    </w:p>
    <w:p w:rsidR="005D50F2" w:rsidRDefault="005D50F2">
      <w:pPr>
        <w:pStyle w:val="ConsPlusNormal"/>
        <w:ind w:firstLine="540"/>
        <w:jc w:val="both"/>
      </w:pPr>
      <w:r>
        <w:t>16. Проект представляется на Конкурс на бумажном носителе. Проект должен быть прошит, пронумерован и подписан руководителем некоммерческой организации, участвующей в Конкурсе.</w:t>
      </w:r>
    </w:p>
    <w:p w:rsidR="005D50F2" w:rsidRDefault="005D50F2">
      <w:pPr>
        <w:pStyle w:val="ConsPlusNormal"/>
        <w:ind w:firstLine="540"/>
        <w:jc w:val="both"/>
      </w:pPr>
      <w:bookmarkStart w:id="4" w:name="P98"/>
      <w:bookmarkEnd w:id="4"/>
      <w:r>
        <w:t>17. Проект, представленный на Конкурс, оценивается по следующим критериям:</w:t>
      </w:r>
    </w:p>
    <w:p w:rsidR="005D50F2" w:rsidRDefault="005D50F2">
      <w:pPr>
        <w:sectPr w:rsidR="005D50F2" w:rsidSect="00B44A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50F2" w:rsidRDefault="005D50F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143"/>
        <w:gridCol w:w="1984"/>
      </w:tblGrid>
      <w:tr w:rsidR="005D50F2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>
            <w:pPr>
              <w:pStyle w:val="ConsPlusNormal"/>
              <w:jc w:val="center"/>
            </w:pPr>
            <w:r>
              <w:t>Баллы</w:t>
            </w:r>
          </w:p>
        </w:tc>
      </w:tr>
      <w:tr w:rsidR="005D50F2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1.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5D50F2" w:rsidRDefault="005D50F2">
            <w:pPr>
              <w:pStyle w:val="ConsPlusNormal"/>
            </w:pPr>
            <w:r>
              <w:t>Социальная значимость и актуальность проекта: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5D50F2" w:rsidRDefault="005D50F2">
            <w:pPr>
              <w:pStyle w:val="ConsPlusNormal"/>
            </w:pPr>
            <w:r>
              <w:t>максимальный 25</w:t>
            </w:r>
          </w:p>
        </w:tc>
      </w:tr>
      <w:tr w:rsidR="005D50F2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/>
        </w:tc>
        <w:tc>
          <w:tcPr>
            <w:tcW w:w="7143" w:type="dxa"/>
            <w:tcBorders>
              <w:top w:val="nil"/>
              <w:bottom w:val="nil"/>
            </w:tcBorders>
          </w:tcPr>
          <w:p w:rsidR="005D50F2" w:rsidRDefault="005D50F2">
            <w:pPr>
              <w:pStyle w:val="ConsPlusNormal"/>
            </w:pPr>
            <w:r>
              <w:t>актуальность заявленной проблемы, на решение которой направлен проект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50F2" w:rsidRDefault="005D50F2">
            <w:pPr>
              <w:pStyle w:val="ConsPlusNormal"/>
            </w:pPr>
            <w:r>
              <w:t>1 - 15</w:t>
            </w:r>
          </w:p>
        </w:tc>
      </w:tr>
      <w:tr w:rsidR="005D50F2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/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соответствие Положению о Конкурсе, его целям и задачам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1 - 10</w:t>
            </w:r>
          </w:p>
        </w:tc>
      </w:tr>
      <w:tr w:rsidR="005D50F2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2.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5D50F2" w:rsidRDefault="005D50F2">
            <w:pPr>
              <w:pStyle w:val="ConsPlusNormal"/>
            </w:pPr>
            <w:r>
              <w:t>Результативность заявленного проекта: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5D50F2" w:rsidRDefault="005D50F2">
            <w:pPr>
              <w:pStyle w:val="ConsPlusNormal"/>
            </w:pPr>
            <w:r>
              <w:t>максимальный 40</w:t>
            </w:r>
          </w:p>
        </w:tc>
      </w:tr>
      <w:tr w:rsidR="005D50F2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/>
        </w:tc>
        <w:tc>
          <w:tcPr>
            <w:tcW w:w="7143" w:type="dxa"/>
            <w:tcBorders>
              <w:top w:val="nil"/>
              <w:bottom w:val="nil"/>
            </w:tcBorders>
          </w:tcPr>
          <w:p w:rsidR="005D50F2" w:rsidRDefault="005D50F2">
            <w:pPr>
              <w:pStyle w:val="ConsPlusNormal"/>
            </w:pPr>
            <w:r>
              <w:t>количественные и качественные результаты реализации программы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50F2" w:rsidRDefault="005D50F2">
            <w:pPr>
              <w:pStyle w:val="ConsPlusNormal"/>
            </w:pPr>
            <w:r>
              <w:t>1 - 20</w:t>
            </w:r>
          </w:p>
        </w:tc>
      </w:tr>
      <w:tr w:rsidR="005D50F2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/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конкретность ожидаемых результатов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1 - 20</w:t>
            </w:r>
          </w:p>
        </w:tc>
      </w:tr>
      <w:tr w:rsidR="005D50F2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3.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5D50F2" w:rsidRDefault="005D50F2">
            <w:pPr>
              <w:pStyle w:val="ConsPlusNormal"/>
            </w:pPr>
            <w:r>
              <w:t>Перспективы применения проекта: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5D50F2" w:rsidRDefault="005D50F2">
            <w:pPr>
              <w:pStyle w:val="ConsPlusNormal"/>
            </w:pPr>
            <w:r>
              <w:t>максимальный 50</w:t>
            </w:r>
          </w:p>
        </w:tc>
      </w:tr>
      <w:tr w:rsidR="005D50F2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/>
        </w:tc>
        <w:tc>
          <w:tcPr>
            <w:tcW w:w="7143" w:type="dxa"/>
            <w:tcBorders>
              <w:top w:val="nil"/>
              <w:bottom w:val="nil"/>
            </w:tcBorders>
          </w:tcPr>
          <w:p w:rsidR="005D50F2" w:rsidRDefault="005D50F2">
            <w:pPr>
              <w:pStyle w:val="ConsPlusNormal"/>
            </w:pPr>
            <w:r>
              <w:t>практическая значимость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50F2" w:rsidRDefault="005D50F2">
            <w:pPr>
              <w:pStyle w:val="ConsPlusNormal"/>
            </w:pPr>
            <w:r>
              <w:t>1 - 20</w:t>
            </w:r>
          </w:p>
        </w:tc>
      </w:tr>
      <w:tr w:rsidR="005D50F2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/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возможность массового использования результатов проекта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1 - 30</w:t>
            </w:r>
          </w:p>
        </w:tc>
      </w:tr>
      <w:tr w:rsidR="005D50F2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4.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5D50F2" w:rsidRDefault="005D50F2">
            <w:pPr>
              <w:pStyle w:val="ConsPlusNormal"/>
            </w:pPr>
            <w:r>
              <w:t>Кадровое обеспечение: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5D50F2" w:rsidRDefault="005D50F2">
            <w:pPr>
              <w:pStyle w:val="ConsPlusNormal"/>
            </w:pPr>
            <w:r>
              <w:t>максимальный 20</w:t>
            </w:r>
          </w:p>
        </w:tc>
      </w:tr>
      <w:tr w:rsidR="005D50F2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/>
        </w:tc>
        <w:tc>
          <w:tcPr>
            <w:tcW w:w="7143" w:type="dxa"/>
            <w:tcBorders>
              <w:top w:val="nil"/>
              <w:bottom w:val="nil"/>
            </w:tcBorders>
          </w:tcPr>
          <w:p w:rsidR="005D50F2" w:rsidRDefault="005D50F2">
            <w:pPr>
              <w:pStyle w:val="ConsPlusNormal"/>
            </w:pPr>
            <w:r>
              <w:t>наличие у членов организации, участвующих в реализации проекта, необходимых профессиональных знаний, квалификации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50F2" w:rsidRDefault="005D50F2">
            <w:pPr>
              <w:pStyle w:val="ConsPlusNormal"/>
            </w:pPr>
            <w:r>
              <w:t>1 - 10</w:t>
            </w:r>
          </w:p>
        </w:tc>
      </w:tr>
      <w:tr w:rsidR="005D50F2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/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наличие у членов организации, участвующих в реализации проекта, опыта работы в сфере деятельности, заявленной в проекте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1 - 10</w:t>
            </w:r>
          </w:p>
        </w:tc>
      </w:tr>
      <w:tr w:rsidR="005D50F2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5.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5D50F2" w:rsidRDefault="005D50F2">
            <w:pPr>
              <w:pStyle w:val="ConsPlusNormal"/>
            </w:pPr>
            <w:r>
              <w:t>Финансово-экономическое обоснование: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5D50F2" w:rsidRDefault="005D50F2">
            <w:pPr>
              <w:pStyle w:val="ConsPlusNormal"/>
            </w:pPr>
            <w:r>
              <w:t>максимальный 50</w:t>
            </w:r>
          </w:p>
        </w:tc>
      </w:tr>
      <w:tr w:rsidR="005D50F2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/>
        </w:tc>
        <w:tc>
          <w:tcPr>
            <w:tcW w:w="7143" w:type="dxa"/>
            <w:tcBorders>
              <w:top w:val="nil"/>
              <w:bottom w:val="nil"/>
            </w:tcBorders>
          </w:tcPr>
          <w:p w:rsidR="005D50F2" w:rsidRDefault="005D50F2">
            <w:pPr>
              <w:pStyle w:val="ConsPlusNormal"/>
            </w:pPr>
            <w:r>
              <w:t>обоснованность финансовых затрат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50F2" w:rsidRDefault="005D50F2">
            <w:pPr>
              <w:pStyle w:val="ConsPlusNormal"/>
            </w:pPr>
            <w:r>
              <w:t>1 - 15</w:t>
            </w:r>
          </w:p>
        </w:tc>
      </w:tr>
      <w:tr w:rsidR="005D50F2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/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наличие собственного или привлеченного вклада в организацию заявленной деятельности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1 - 35</w:t>
            </w:r>
          </w:p>
        </w:tc>
      </w:tr>
      <w:tr w:rsidR="005D50F2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D50F2" w:rsidRDefault="005D50F2">
            <w:pPr>
              <w:pStyle w:val="ConsPlusNormal"/>
            </w:pPr>
            <w:r>
              <w:t>максимальная сумма баллов 185</w:t>
            </w:r>
          </w:p>
        </w:tc>
      </w:tr>
    </w:tbl>
    <w:p w:rsidR="005D50F2" w:rsidRDefault="005D50F2">
      <w:pPr>
        <w:sectPr w:rsidR="005D50F2">
          <w:pgSz w:w="16838" w:h="11905"/>
          <w:pgMar w:top="1701" w:right="1134" w:bottom="850" w:left="1134" w:header="0" w:footer="0" w:gutter="0"/>
          <w:cols w:space="720"/>
        </w:sectPr>
      </w:pPr>
    </w:p>
    <w:p w:rsidR="005D50F2" w:rsidRDefault="005D50F2">
      <w:pPr>
        <w:pStyle w:val="ConsPlusNormal"/>
        <w:ind w:firstLine="540"/>
        <w:jc w:val="both"/>
      </w:pPr>
    </w:p>
    <w:p w:rsidR="005D50F2" w:rsidRDefault="005D50F2">
      <w:pPr>
        <w:pStyle w:val="ConsPlusNormal"/>
        <w:ind w:firstLine="540"/>
        <w:jc w:val="both"/>
      </w:pPr>
      <w:r>
        <w:t>18. По итогам оценки проектов оформляются экспертные листы, заполненные и подписанные членами конкурсной комиссии лично.</w:t>
      </w:r>
    </w:p>
    <w:p w:rsidR="005D50F2" w:rsidRDefault="005D50F2">
      <w:pPr>
        <w:pStyle w:val="ConsPlusNormal"/>
        <w:ind w:firstLine="540"/>
        <w:jc w:val="both"/>
      </w:pPr>
      <w:r>
        <w:t xml:space="preserve">19. Каждый проект оценивается в соответствии с критериями и баллами, указанными в </w:t>
      </w:r>
      <w:hyperlink w:anchor="P98" w:history="1">
        <w:r>
          <w:rPr>
            <w:color w:val="0000FF"/>
          </w:rPr>
          <w:t>пункте 17</w:t>
        </w:r>
      </w:hyperlink>
      <w:r>
        <w:t xml:space="preserve"> настоящего Положения.</w:t>
      </w:r>
    </w:p>
    <w:p w:rsidR="005D50F2" w:rsidRDefault="005D50F2">
      <w:pPr>
        <w:pStyle w:val="ConsPlusNormal"/>
        <w:ind w:firstLine="540"/>
        <w:jc w:val="both"/>
      </w:pPr>
      <w:r>
        <w:t>20. Победителем Конкурса признается участник Конкурса, набравший наибольшее суммарное количество баллов, выставленных каждым членом конкурсной комиссии в экспертном листе по всем критериям.</w:t>
      </w:r>
    </w:p>
    <w:p w:rsidR="005D50F2" w:rsidRDefault="005D50F2">
      <w:pPr>
        <w:pStyle w:val="ConsPlusNormal"/>
        <w:ind w:firstLine="540"/>
        <w:jc w:val="both"/>
      </w:pPr>
      <w:r>
        <w:t>21. Конкурсная комиссия состоит не менее чем из двенадцати членов и возглавляется председателем. Председателем конкурсной комиссии является директор Департамента.</w:t>
      </w:r>
    </w:p>
    <w:p w:rsidR="005D50F2" w:rsidRDefault="005D50F2">
      <w:pPr>
        <w:pStyle w:val="ConsPlusNormal"/>
        <w:ind w:firstLine="540"/>
        <w:jc w:val="both"/>
      </w:pPr>
      <w:r>
        <w:t>22. В состав конкурсной комиссии также входят:</w:t>
      </w:r>
    </w:p>
    <w:p w:rsidR="005D50F2" w:rsidRDefault="005D50F2">
      <w:pPr>
        <w:pStyle w:val="ConsPlusNormal"/>
        <w:ind w:firstLine="540"/>
        <w:jc w:val="both"/>
      </w:pPr>
      <w:r>
        <w:t>22.1. Первый заместитель директора Департамента.</w:t>
      </w:r>
    </w:p>
    <w:p w:rsidR="005D50F2" w:rsidRDefault="005D50F2">
      <w:pPr>
        <w:pStyle w:val="ConsPlusNormal"/>
        <w:ind w:firstLine="540"/>
        <w:jc w:val="both"/>
      </w:pPr>
      <w:r>
        <w:t>22.2. Начальник управления по взаимодействию с населением и институтами гражданского общества Департамента общественных и внешних связей Ханты-Мансийского автономного округа - Югры.</w:t>
      </w:r>
    </w:p>
    <w:p w:rsidR="005D50F2" w:rsidRDefault="005D50F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21.03.2014 N 98-п)</w:t>
      </w:r>
    </w:p>
    <w:p w:rsidR="005D50F2" w:rsidRDefault="005D50F2">
      <w:pPr>
        <w:pStyle w:val="ConsPlusNormal"/>
        <w:ind w:firstLine="540"/>
        <w:jc w:val="both"/>
      </w:pPr>
      <w:r>
        <w:t>22.3. Консультант отдела нотариата и административных комиссий управления по вопросам юстиции и взаимодействию с территориальными органами федеральных органов государственной власти Департамента.</w:t>
      </w:r>
    </w:p>
    <w:p w:rsidR="005D50F2" w:rsidRDefault="005D50F2">
      <w:pPr>
        <w:pStyle w:val="ConsPlusNormal"/>
        <w:ind w:firstLine="540"/>
        <w:jc w:val="both"/>
      </w:pPr>
      <w:r>
        <w:t>22.4. Независимые эксперты:</w:t>
      </w:r>
    </w:p>
    <w:p w:rsidR="005D50F2" w:rsidRDefault="005D50F2">
      <w:pPr>
        <w:pStyle w:val="ConsPlusNormal"/>
        <w:ind w:firstLine="540"/>
        <w:jc w:val="both"/>
      </w:pPr>
      <w:r>
        <w:t>не менее одной трети от ее общего количества - представители общественных организаций;</w:t>
      </w:r>
    </w:p>
    <w:p w:rsidR="005D50F2" w:rsidRDefault="005D50F2">
      <w:pPr>
        <w:pStyle w:val="ConsPlusNormal"/>
        <w:ind w:firstLine="540"/>
        <w:jc w:val="both"/>
      </w:pPr>
      <w:r>
        <w:t>не менее одной трети от ее общего количества - представители высших учебных заведений юридической направленности, имеющие ученую степень.</w:t>
      </w:r>
    </w:p>
    <w:p w:rsidR="005D50F2" w:rsidRDefault="005D50F2">
      <w:pPr>
        <w:pStyle w:val="ConsPlusNormal"/>
        <w:ind w:firstLine="540"/>
        <w:jc w:val="both"/>
      </w:pPr>
      <w:r>
        <w:t>23. В состав конкурсной комиссии не могут быть включены представители общественных организаций и представители высших учебных заведений, являющиеся членами некоммерческих организаций, участвующих в Конкурсе.</w:t>
      </w:r>
    </w:p>
    <w:p w:rsidR="005D50F2" w:rsidRDefault="005D50F2">
      <w:pPr>
        <w:pStyle w:val="ConsPlusNormal"/>
        <w:ind w:firstLine="540"/>
        <w:jc w:val="both"/>
      </w:pPr>
      <w:r>
        <w:t>24. Персональный состав конкурсной комиссии утверждается приказом директора Департамента.</w:t>
      </w:r>
    </w:p>
    <w:p w:rsidR="005D50F2" w:rsidRDefault="005D50F2">
      <w:pPr>
        <w:pStyle w:val="ConsPlusNormal"/>
        <w:ind w:firstLine="540"/>
        <w:jc w:val="both"/>
      </w:pPr>
      <w:r>
        <w:t>25. Конкурсная комиссия на своих заседаниях:</w:t>
      </w:r>
    </w:p>
    <w:p w:rsidR="005D50F2" w:rsidRDefault="005D50F2">
      <w:pPr>
        <w:pStyle w:val="ConsPlusNormal"/>
        <w:ind w:firstLine="540"/>
        <w:jc w:val="both"/>
      </w:pPr>
      <w:r>
        <w:t xml:space="preserve">25.1. Принимает решения о соответствии претендента требованиям, установленным в </w:t>
      </w:r>
      <w:hyperlink w:anchor="P54" w:history="1">
        <w:r>
          <w:rPr>
            <w:color w:val="0000FF"/>
          </w:rPr>
          <w:t>пункте 5</w:t>
        </w:r>
      </w:hyperlink>
      <w:r>
        <w:t xml:space="preserve"> настоящего Положения, и о его допуске к участию в Конкурсе либо об отказе в допуске претендента к участию в Конкурсе.</w:t>
      </w:r>
    </w:p>
    <w:p w:rsidR="005D50F2" w:rsidRDefault="005D50F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25.1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26.09.2013 N 390-п)</w:t>
      </w:r>
    </w:p>
    <w:p w:rsidR="005D50F2" w:rsidRDefault="005D50F2">
      <w:pPr>
        <w:pStyle w:val="ConsPlusNormal"/>
        <w:ind w:firstLine="540"/>
        <w:jc w:val="both"/>
      </w:pPr>
      <w:r>
        <w:t>25.2. Рассматривает и оценивает представленные на Конкурс проекты и утверждает экспертные листы на них.</w:t>
      </w:r>
    </w:p>
    <w:p w:rsidR="005D50F2" w:rsidRDefault="005D50F2">
      <w:pPr>
        <w:pStyle w:val="ConsPlusNormal"/>
        <w:ind w:firstLine="540"/>
        <w:jc w:val="both"/>
      </w:pPr>
      <w:r>
        <w:t>25.3. Определяет победителя Конкурса.</w:t>
      </w:r>
    </w:p>
    <w:p w:rsidR="005D50F2" w:rsidRDefault="005D50F2">
      <w:pPr>
        <w:pStyle w:val="ConsPlusNormal"/>
        <w:ind w:firstLine="540"/>
        <w:jc w:val="both"/>
      </w:pPr>
      <w:r>
        <w:t>26. Конкурсная комиссия правомочна принимать решения, если на ее заседании присутствует более половины его списочного состава.</w:t>
      </w:r>
    </w:p>
    <w:p w:rsidR="005D50F2" w:rsidRDefault="005D50F2">
      <w:pPr>
        <w:pStyle w:val="ConsPlusNormal"/>
        <w:ind w:firstLine="540"/>
        <w:jc w:val="both"/>
      </w:pPr>
      <w:r>
        <w:t>27. Решение конкурсной комиссией принимается открытым голосованием, простым большинством голосов присутствующих ее членов. При равенстве голосов членов конкурсной комиссии решающим является голос председателя.</w:t>
      </w:r>
    </w:p>
    <w:p w:rsidR="005D50F2" w:rsidRDefault="005D50F2">
      <w:pPr>
        <w:pStyle w:val="ConsPlusNormal"/>
        <w:ind w:firstLine="540"/>
        <w:jc w:val="both"/>
      </w:pPr>
      <w:r>
        <w:t>28. Решения конкурсной комиссией оформляются протоколом заседания конкурсной комиссии.</w:t>
      </w:r>
    </w:p>
    <w:p w:rsidR="005D50F2" w:rsidRDefault="005D50F2">
      <w:pPr>
        <w:pStyle w:val="ConsPlusNormal"/>
        <w:ind w:firstLine="540"/>
        <w:jc w:val="both"/>
      </w:pPr>
      <w:r>
        <w:t>29. В целях предоставления субсидии между Департаментом и победителем Конкурса заключается договор, в котором предусматриваются:</w:t>
      </w:r>
    </w:p>
    <w:p w:rsidR="005D50F2" w:rsidRDefault="005D50F2">
      <w:pPr>
        <w:pStyle w:val="ConsPlusNormal"/>
        <w:ind w:firstLine="540"/>
        <w:jc w:val="both"/>
      </w:pPr>
      <w:r>
        <w:t xml:space="preserve">29.1. Цели, условия, размер и сроки предоставления субсидии, а также порядок ее возврата в случае возникновения оснований, указанных в </w:t>
      </w:r>
      <w:hyperlink w:anchor="P173" w:history="1">
        <w:r>
          <w:rPr>
            <w:color w:val="0000FF"/>
          </w:rPr>
          <w:t>пункте 31</w:t>
        </w:r>
      </w:hyperlink>
      <w:r>
        <w:t xml:space="preserve"> настоящего Положения.</w:t>
      </w:r>
    </w:p>
    <w:p w:rsidR="005D50F2" w:rsidRDefault="005D50F2">
      <w:pPr>
        <w:pStyle w:val="ConsPlusNormal"/>
        <w:ind w:firstLine="540"/>
        <w:jc w:val="both"/>
      </w:pPr>
      <w:r>
        <w:t>29.2. Порядок, сроки и формы представления победителем Конкурса отчетности, подтверждающей выполнение условий договора.</w:t>
      </w:r>
    </w:p>
    <w:p w:rsidR="005D50F2" w:rsidRDefault="005D50F2">
      <w:pPr>
        <w:pStyle w:val="ConsPlusNormal"/>
        <w:ind w:firstLine="540"/>
        <w:jc w:val="both"/>
      </w:pPr>
      <w:r>
        <w:t>29.3. Порядок перечисления субсидии.</w:t>
      </w:r>
    </w:p>
    <w:p w:rsidR="005D50F2" w:rsidRDefault="005D50F2">
      <w:pPr>
        <w:pStyle w:val="ConsPlusNormal"/>
        <w:ind w:firstLine="540"/>
        <w:jc w:val="both"/>
      </w:pPr>
      <w:r>
        <w:t>29.4. Ответственность сторон за несоблюдение условий договора.</w:t>
      </w:r>
    </w:p>
    <w:p w:rsidR="005D50F2" w:rsidRDefault="005D50F2">
      <w:pPr>
        <w:pStyle w:val="ConsPlusNormal"/>
        <w:ind w:firstLine="540"/>
        <w:jc w:val="both"/>
      </w:pPr>
      <w:r>
        <w:t>29.5. Формы контроля за соблюдением условий договора.</w:t>
      </w:r>
    </w:p>
    <w:p w:rsidR="005D50F2" w:rsidRDefault="005D50F2">
      <w:pPr>
        <w:pStyle w:val="ConsPlusNormal"/>
        <w:ind w:firstLine="540"/>
        <w:jc w:val="both"/>
      </w:pPr>
      <w:r>
        <w:t xml:space="preserve">29.6. Согласие получателя субсидий на осуществление главным распорядителем бюджетных средств, предоставившим субсидии, и органами государственного финансового контроля проверок </w:t>
      </w:r>
      <w:r>
        <w:lastRenderedPageBreak/>
        <w:t>соблюдения получателями субсидий условий, целей и порядка их предоставления.</w:t>
      </w:r>
    </w:p>
    <w:p w:rsidR="005D50F2" w:rsidRDefault="005D50F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29.6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26.09.2013 N 390-п)</w:t>
      </w:r>
    </w:p>
    <w:p w:rsidR="005D50F2" w:rsidRDefault="005D50F2">
      <w:pPr>
        <w:pStyle w:val="ConsPlusNormal"/>
        <w:ind w:firstLine="540"/>
        <w:jc w:val="both"/>
      </w:pPr>
      <w:r>
        <w:t>30. Перечисление субсидии осуществляется на основании приказа директора Департамента на счет победителя Конкурса в течение десяти банковских дней с момента подписания договора обеими сторонами.</w:t>
      </w:r>
    </w:p>
    <w:p w:rsidR="005D50F2" w:rsidRDefault="005D50F2">
      <w:pPr>
        <w:pStyle w:val="ConsPlusNormal"/>
        <w:ind w:firstLine="540"/>
        <w:jc w:val="both"/>
      </w:pPr>
      <w:bookmarkStart w:id="5" w:name="P173"/>
      <w:bookmarkEnd w:id="5"/>
      <w:r>
        <w:t>31. Субсидия подлежит возврату в бюджет Ханты-Мансийского автономного округа - Югры победителем Конкурса в случаях:</w:t>
      </w:r>
    </w:p>
    <w:p w:rsidR="005D50F2" w:rsidRDefault="005D50F2">
      <w:pPr>
        <w:pStyle w:val="ConsPlusNormal"/>
        <w:ind w:firstLine="540"/>
        <w:jc w:val="both"/>
      </w:pPr>
      <w:r>
        <w:t>31.1. Установления факта расходования субсидии не по целевому назначению.</w:t>
      </w:r>
    </w:p>
    <w:p w:rsidR="005D50F2" w:rsidRDefault="005D50F2">
      <w:pPr>
        <w:pStyle w:val="ConsPlusNormal"/>
        <w:ind w:firstLine="540"/>
        <w:jc w:val="both"/>
      </w:pPr>
      <w:r>
        <w:t>31.2. Непредставления отчетных материалов в соответствии с договором либо их предоставления с нарушением требований, установленных договором.</w:t>
      </w:r>
    </w:p>
    <w:p w:rsidR="005D50F2" w:rsidRDefault="005D50F2">
      <w:pPr>
        <w:pStyle w:val="ConsPlusNormal"/>
        <w:ind w:firstLine="540"/>
        <w:jc w:val="both"/>
      </w:pPr>
      <w:r>
        <w:t>31.3. Уклонения победителя Конкурса от контроля Департаментом целевого расходования средств субсидии в соответствии с условиями договора.</w:t>
      </w:r>
    </w:p>
    <w:p w:rsidR="005D50F2" w:rsidRDefault="005D50F2">
      <w:pPr>
        <w:pStyle w:val="ConsPlusNormal"/>
        <w:ind w:firstLine="540"/>
        <w:jc w:val="both"/>
      </w:pPr>
      <w:r>
        <w:t xml:space="preserve">32. Департамент осуществляет контроль за целевым использованием субсидии. В случае установления фактов, являющихся основанием для возврата субсидии, указанных в </w:t>
      </w:r>
      <w:hyperlink w:anchor="P173" w:history="1">
        <w:r>
          <w:rPr>
            <w:color w:val="0000FF"/>
          </w:rPr>
          <w:t>пункте 31</w:t>
        </w:r>
      </w:hyperlink>
      <w:r>
        <w:t xml:space="preserve"> настоящего Положения, Департамент в течение пятнадцати дней принимает решение о возврате субсидии и направляет в адрес победителя Конкурса требование о возврате субсидии.</w:t>
      </w:r>
    </w:p>
    <w:p w:rsidR="005D50F2" w:rsidRDefault="005D50F2">
      <w:pPr>
        <w:pStyle w:val="ConsPlusNormal"/>
        <w:ind w:firstLine="540"/>
        <w:jc w:val="both"/>
      </w:pPr>
      <w:r>
        <w:t>33. В случае установления фактов, являющихся основанием для возврата субсидии, предоставляемой в соответствии с настоящим Положением, средства бюджета Ханты-Мансийского автономного округа - Югры подлежат возврату победителем Конкурса в течение десяти рабочих дней с момента направления Департаментом требования о возврате субсидии.</w:t>
      </w:r>
    </w:p>
    <w:p w:rsidR="005D50F2" w:rsidRDefault="005D50F2">
      <w:pPr>
        <w:pStyle w:val="ConsPlusNormal"/>
        <w:ind w:firstLine="540"/>
        <w:jc w:val="both"/>
      </w:pPr>
      <w:r>
        <w:t>34. В случае неисполнения победителем Конкурса требования о возврате субсидии денежные средства подлежат взысканию в судебном порядке в соответствии с действующим законодательством Российской Федерации.</w:t>
      </w:r>
    </w:p>
    <w:p w:rsidR="005D50F2" w:rsidRDefault="005D50F2">
      <w:pPr>
        <w:pStyle w:val="ConsPlusNormal"/>
        <w:ind w:firstLine="540"/>
        <w:jc w:val="both"/>
      </w:pPr>
      <w:r>
        <w:t>35. Участники Конкурса, представившие для участия в Конкурсе документы, содержащие недостоверные сведения о своей деятельности, уклонившиеся от заключения договора, а также не исполнившие обязательства, предусмотренные договором, не допускаются к участию в Конкурсе в последующие годы.</w:t>
      </w:r>
    </w:p>
    <w:p w:rsidR="005D50F2" w:rsidRDefault="005D50F2">
      <w:pPr>
        <w:pStyle w:val="ConsPlusNormal"/>
        <w:ind w:firstLine="540"/>
        <w:jc w:val="both"/>
      </w:pPr>
    </w:p>
    <w:p w:rsidR="005D50F2" w:rsidRDefault="005D50F2">
      <w:pPr>
        <w:pStyle w:val="ConsPlusNormal"/>
        <w:ind w:firstLine="540"/>
        <w:jc w:val="both"/>
      </w:pPr>
    </w:p>
    <w:p w:rsidR="005D50F2" w:rsidRDefault="005D50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9E2" w:rsidRDefault="000669E2">
      <w:bookmarkStart w:id="6" w:name="_GoBack"/>
      <w:bookmarkEnd w:id="6"/>
    </w:p>
    <w:sectPr w:rsidR="000669E2" w:rsidSect="00AC5A4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5F"/>
    <w:rsid w:val="000669E2"/>
    <w:rsid w:val="005D50F2"/>
    <w:rsid w:val="008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E3733-9040-4A3D-8B2B-B4ED86F5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5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50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FDD71B39276CA38D316F9325C3C1E8EF8CCF6B5D52B73A610CE17DA8BA8199E48F76D294FE825BF12E877EFk2L" TargetMode="External"/><Relationship Id="rId13" Type="http://schemas.openxmlformats.org/officeDocument/2006/relationships/hyperlink" Target="consultantplus://offline/ref=E96FDD71B39276CA38D316F9325C3C1E8EF8CCF6B5D52B73A610CE17DA8BA8199E48F76D294FE825BF12E877EFk3L" TargetMode="External"/><Relationship Id="rId18" Type="http://schemas.openxmlformats.org/officeDocument/2006/relationships/hyperlink" Target="consultantplus://offline/ref=E96FDD71B39276CA38D316F9325C3C1E8EF8CCF6B5D62279A011CE17DA8BA8199E48F76D294FE825BF12E871EFkFL" TargetMode="External"/><Relationship Id="rId26" Type="http://schemas.openxmlformats.org/officeDocument/2006/relationships/hyperlink" Target="consultantplus://offline/ref=E96FDD71B39276CA38D316F9325C3C1E8EF8CCF6B5D6227FA310CE17DA8BA8199E48F76D294FE825BD17EC72EFk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6FDD71B39276CA38D316F9325C3C1E8EF8CCF6B5D62279A01CCE17DA8BA8199E48F76D294FE825BF12E875EFk1L" TargetMode="External"/><Relationship Id="rId7" Type="http://schemas.openxmlformats.org/officeDocument/2006/relationships/hyperlink" Target="consultantplus://offline/ref=E96FDD71B39276CA38D316F9325C3C1E8EF8CCF6BDDD2573A31E931DD2D2A41B9947A87A2E06E424BF12E9E7k1L" TargetMode="External"/><Relationship Id="rId12" Type="http://schemas.openxmlformats.org/officeDocument/2006/relationships/hyperlink" Target="consultantplus://offline/ref=E96FDD71B39276CA38D316F9325C3C1E8EF8CCF6B5D6227FA310CE17DA8BA8199E48F76D294FE825BD11E975EFk3L" TargetMode="External"/><Relationship Id="rId17" Type="http://schemas.openxmlformats.org/officeDocument/2006/relationships/hyperlink" Target="consultantplus://offline/ref=E96FDD71B39276CA38D316F9325C3C1E8EF8CCF6BDD72B7CA41E931DD2D2A41B9947A87A2E06E424BF12E8E7k3L" TargetMode="External"/><Relationship Id="rId25" Type="http://schemas.openxmlformats.org/officeDocument/2006/relationships/hyperlink" Target="consultantplus://offline/ref=E96FDD71B39276CA38D316F9325C3C1E8EF8CCF6BDD72B7CA41E931DD2D2A41B9947A87A2E06E424BF12E8E7k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6FDD71B39276CA38D316F9325C3C1E8EF8CCF6B5D52B73A610CE17DA8BA8199E48F76D294FE825BF12E877EFk1L" TargetMode="External"/><Relationship Id="rId20" Type="http://schemas.openxmlformats.org/officeDocument/2006/relationships/hyperlink" Target="consultantplus://offline/ref=E96FDD71B39276CA38D316F9325C3C1E8EF8CCF6B5D52B73A610CE17DA8BA8199E48F76D294FE825BF12E877EFkEL" TargetMode="External"/><Relationship Id="rId29" Type="http://schemas.openxmlformats.org/officeDocument/2006/relationships/hyperlink" Target="consultantplus://offline/ref=E96FDD71B39276CA38D316F9325C3C1E8EF8CCF6BDD72B7CA41E931DD2D2A41B9947A87A2E06E424BF12E8E7k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6FDD71B39276CA38D316F9325C3C1E8EF8CCF6B5D62279A011CE17DA8BA8199E48F76D294FE825BF12E871EFkFL" TargetMode="External"/><Relationship Id="rId11" Type="http://schemas.openxmlformats.org/officeDocument/2006/relationships/hyperlink" Target="consultantplus://offline/ref=E96FDD71B39276CA38D316F9325C3C1E8EF8CCF6B5D42A73A810CE17DA8BA8199EE4k8L" TargetMode="External"/><Relationship Id="rId24" Type="http://schemas.openxmlformats.org/officeDocument/2006/relationships/hyperlink" Target="consultantplus://offline/ref=E96FDD71B39276CA38D316F9325C3C1E8EF8CCF6BDD72B7CA41E931DD2D2A41B9947A87A2E06E424BF12E8E7k1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E96FDD71B39276CA38D316F9325C3C1E8EF8CCF6BDD72B7CA41E931DD2D2A41B9947A87A2E06E424BF12E8E7k3L" TargetMode="External"/><Relationship Id="rId15" Type="http://schemas.openxmlformats.org/officeDocument/2006/relationships/hyperlink" Target="consultantplus://offline/ref=E96FDD71B39276CA38D316F9325C3C1E8EF8CCF6BDDD2573A31E931DD2D2A41B9947A87A2E06E424BF12E9E7kFL" TargetMode="External"/><Relationship Id="rId23" Type="http://schemas.openxmlformats.org/officeDocument/2006/relationships/hyperlink" Target="consultantplus://offline/ref=E96FDD71B39276CA38D316F9325C3C1E8EF8CCF6BDD72B7CA41E931DD2D2A41B9947A87A2E06E424BF12E8E7k0L" TargetMode="External"/><Relationship Id="rId28" Type="http://schemas.openxmlformats.org/officeDocument/2006/relationships/hyperlink" Target="consultantplus://offline/ref=E96FDD71B39276CA38D316F9325C3C1E8EF8CCF6B5D62279A011CE17DA8BA8199E48F76D294FE825BF12E871EFkFL" TargetMode="External"/><Relationship Id="rId10" Type="http://schemas.openxmlformats.org/officeDocument/2006/relationships/hyperlink" Target="consultantplus://offline/ref=E96FDD71B39276CA38D308F424306B1189FA9AF9B1D5282DFD41C84085DBAE4CDE08F1386FE0k9L" TargetMode="External"/><Relationship Id="rId19" Type="http://schemas.openxmlformats.org/officeDocument/2006/relationships/hyperlink" Target="consultantplus://offline/ref=E96FDD71B39276CA38D316F9325C3C1E8EF8CCF6BDDD2573A31E931DD2D2A41B9947A87A2E06E424BF12EAE7k6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6FDD71B39276CA38D308F424306B1189FA9AF8B2D2282DFD41C84085DBAE4CDE08F1386A08E124EBk6L" TargetMode="External"/><Relationship Id="rId14" Type="http://schemas.openxmlformats.org/officeDocument/2006/relationships/hyperlink" Target="consultantplus://offline/ref=E96FDD71B39276CA38D316F9325C3C1E8EF8CCF6B5D6227FA310CE17DA8BA8199E48F76D294FE825BF12E877EFk2L" TargetMode="External"/><Relationship Id="rId22" Type="http://schemas.openxmlformats.org/officeDocument/2006/relationships/hyperlink" Target="consultantplus://offline/ref=E96FDD71B39276CA38D316F9325C3C1E8EF8CCF6BDD72B7CA41E931DD2D2A41B9947A87A2E06E424BF12E8E7k0L" TargetMode="External"/><Relationship Id="rId27" Type="http://schemas.openxmlformats.org/officeDocument/2006/relationships/hyperlink" Target="consultantplus://offline/ref=E96FDD71B39276CA38D316F9325C3C1E8EF8CCF6B5D52B73A610CE17DA8BA8199E48F76D294FE825BF12E877EFkEL" TargetMode="External"/><Relationship Id="rId30" Type="http://schemas.openxmlformats.org/officeDocument/2006/relationships/hyperlink" Target="consultantplus://offline/ref=E96FDD71B39276CA38D316F9325C3C1E8EF8CCF6BDD72B7CA41E931DD2D2A41B9947A87A2E06E424BF12E9E7k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Чичкан Сергей Николаевич</dc:creator>
  <cp:keywords/>
  <dc:description/>
  <cp:lastModifiedBy>Чичкан Сергей Николаевич</cp:lastModifiedBy>
  <cp:revision>2</cp:revision>
  <dcterms:created xsi:type="dcterms:W3CDTF">2016-06-09T11:35:00Z</dcterms:created>
  <dcterms:modified xsi:type="dcterms:W3CDTF">2016-06-09T11:53:00Z</dcterms:modified>
</cp:coreProperties>
</file>