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5E" w:rsidRPr="00A84397" w:rsidRDefault="00D8795E" w:rsidP="00D8795E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BD517CF" wp14:editId="08FF291C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D8795E" w:rsidRPr="00A84397" w:rsidRDefault="00D8795E" w:rsidP="00D879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D8795E" w:rsidRPr="00A84397" w:rsidRDefault="00D8795E" w:rsidP="00D8795E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D8795E" w:rsidRPr="00A84397" w:rsidRDefault="00D8795E" w:rsidP="00D8795E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D8795E" w:rsidRPr="00A84397" w:rsidRDefault="00D8795E" w:rsidP="00D8795E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8795E" w:rsidRPr="00A84397" w:rsidRDefault="00D8795E" w:rsidP="00D8795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26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D8795E" w:rsidRPr="00115707" w:rsidRDefault="00D8795E" w:rsidP="00D8795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5707">
        <w:rPr>
          <w:rFonts w:ascii="Times New Roman" w:eastAsia="Calibri" w:hAnsi="Times New Roman" w:cs="Times New Roman"/>
          <w:sz w:val="28"/>
          <w:szCs w:val="28"/>
          <w:u w:val="single"/>
        </w:rPr>
        <w:t>186-</w:t>
      </w:r>
      <w:r w:rsidR="0011570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115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D8795E" w:rsidRPr="00A84397" w:rsidRDefault="00D8795E" w:rsidP="00D8795E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795E" w:rsidRPr="00D8795E" w:rsidRDefault="00D8795E" w:rsidP="00D8795E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Думы города от 07.10.2008 </w:t>
      </w:r>
      <w:r w:rsidR="004B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440-IV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ДГ «О Положении </w:t>
      </w:r>
      <w:r w:rsidR="004B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размерах денежного содержания лиц, замещающих муниципальные должности, и лиц, замещающих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8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 городской округ город Сургут»</w:t>
      </w:r>
    </w:p>
    <w:p w:rsidR="00D8795E" w:rsidRDefault="00D8795E" w:rsidP="00D8795E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795E" w:rsidRPr="00D8795E" w:rsidRDefault="00D8795E" w:rsidP="004B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31 Устава муниципального образования городской округ город Сургут Ханты-Мансий</w:t>
      </w:r>
      <w:r w:rsidR="004B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автономного округа – Югры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города РЕШИЛА:</w:t>
      </w:r>
    </w:p>
    <w:p w:rsidR="00D8795E" w:rsidRPr="00D8795E" w:rsidRDefault="00D8795E" w:rsidP="00D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5E" w:rsidRPr="00D8795E" w:rsidRDefault="004B4C40" w:rsidP="004B4C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города от 07.10.2008 № 440-IV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 о размерах денежного содержания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городской округ город Сургут» (в редакции от 30.04.2013 № 330-V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ДГ) следующие изменения:</w:t>
      </w:r>
    </w:p>
    <w:p w:rsidR="00D8795E" w:rsidRPr="00D8795E" w:rsidRDefault="004B4C40" w:rsidP="004B4C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констатирующей части слова «постановлением Правительства Ханты-Мансийского автономного округа – Югры от 24.12.2007 № 333-п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 (в редакции от 26.05.2008)» исключить; </w:t>
      </w:r>
    </w:p>
    <w:p w:rsidR="00D8795E" w:rsidRPr="00D8795E" w:rsidRDefault="004B4C40" w:rsidP="004B4C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I </w:t>
      </w:r>
      <w:r w:rsidR="00A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следующего содержания: </w:t>
      </w:r>
    </w:p>
    <w:p w:rsidR="00D8795E" w:rsidRPr="00D8795E" w:rsidRDefault="00D8795E" w:rsidP="00A97E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«3. В целях обеспечения повышения уровня реального содержания заработной платы в связи с ростом потребительских цен на т</w:t>
      </w:r>
      <w:r w:rsidR="00A97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овары и услуги осуществляется её индексация путё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увеличения размера должностных окладов муниципальных служащих, ежемесячного денежного вознаграждения лиц, замещающих муниципальные должности.</w:t>
      </w:r>
    </w:p>
    <w:p w:rsidR="00D8795E" w:rsidRPr="00D8795E" w:rsidRDefault="00A97E65" w:rsidP="007408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осуществляется путё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решение, её размер определяется с учё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прогнозного уровня инфляции (потребительских цен) и возможностей бюджета городского округа город Сургут в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период»;</w:t>
      </w:r>
    </w:p>
    <w:p w:rsidR="00D8795E" w:rsidRPr="00D8795E" w:rsidRDefault="00A97E65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решению: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 изложить в следующей редакции: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Ежемесячное денежное вознаграждение.</w:t>
      </w:r>
    </w:p>
    <w:p w:rsidR="00D8795E" w:rsidRPr="00D8795E" w:rsidRDefault="00D8795E" w:rsidP="00A97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ежемесячного денежного вознаграждения лицам, замещающим муниципальные должности, осуществляющим свои полномочия </w:t>
      </w:r>
      <w:r w:rsidR="00A97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основе, определяется в следующих размерах:</w:t>
      </w:r>
    </w:p>
    <w:p w:rsidR="00D8795E" w:rsidRPr="00D8795E" w:rsidRDefault="00D8795E" w:rsidP="00A97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Глава города – 17 734 рубля;</w:t>
      </w:r>
    </w:p>
    <w:p w:rsidR="00D8795E" w:rsidRPr="00D8795E" w:rsidRDefault="00D8795E" w:rsidP="00A97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Председатель Думы города – 14 186 рублей;</w:t>
      </w:r>
    </w:p>
    <w:p w:rsidR="00D8795E" w:rsidRPr="00D8795E" w:rsidRDefault="00D8795E" w:rsidP="00A97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заместитель Председателя Думы города – 13 300 рублей;</w:t>
      </w:r>
    </w:p>
    <w:p w:rsidR="00D8795E" w:rsidRPr="00D8795E" w:rsidRDefault="00D8795E" w:rsidP="00A97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депутат Думы города – 8 867 рублей»;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3.1 изложить в следующей редакции:</w:t>
      </w:r>
    </w:p>
    <w:p w:rsidR="00D8795E" w:rsidRPr="00D8795E" w:rsidRDefault="00D8795E" w:rsidP="00A97E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 Ежемесячная (персональная) выплата за сложность, напряжённость и высокие достижения в работе выплачивается в размере 100 % ежемесячного денежного вознаграждения»;</w:t>
      </w:r>
    </w:p>
    <w:p w:rsidR="00D8795E" w:rsidRPr="00D8795E" w:rsidRDefault="00D8795E" w:rsidP="00A97E6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4 изложить в следующей редакции:</w:t>
      </w:r>
    </w:p>
    <w:p w:rsidR="00D8795E" w:rsidRPr="00D8795E" w:rsidRDefault="00D8795E" w:rsidP="007408B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Премии за выполнение особо важных и сложных заданий могут быть выплачены в размере не более одного месячного фонда оплаты труда, но не более двух месячных фондов оплаты труда в год»;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4.1 изложить в следующей редакции:</w:t>
      </w:r>
    </w:p>
    <w:p w:rsidR="00D8795E" w:rsidRPr="00D8795E" w:rsidRDefault="00D8795E" w:rsidP="00A97E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Премия по результатам работы за квартал выплачивается в размере ежемесячного денежного вознаграждения с применением районного коэффициента и процентной надбавки за работу в районах Крайнего Севера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приравненных к ним местностях»;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5 слово «трех» заменить словом «двух»;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пункт 6 изложить в следующей редакции: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Единовременная выплата при предоставлении ежегодного оплачиваемого отпуска выплачивается в размере двух с половиной месячных фондов оплаты труда, установленных на день издания муниципального правового акта о предоставлении ежегодного оплачиваемого отпуска работнику, один раз в календарном году при предоставлении е</w:t>
      </w:r>
      <w:r w:rsidR="00E417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жегодного оплачиваемого отпуска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пункте 8 слова «в пунктах 5, 6, 7»</w:t>
      </w:r>
      <w:r w:rsidR="00E4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«в пунктах </w:t>
      </w:r>
      <w:r w:rsidR="00E41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–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7»;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дополнить пунктами 9, 10, 11 следующего содержания:</w:t>
      </w:r>
    </w:p>
    <w:p w:rsidR="00D8795E" w:rsidRPr="00D8795E" w:rsidRDefault="00D8795E" w:rsidP="00A97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5E" w:rsidRPr="00D8795E" w:rsidRDefault="00D8795E" w:rsidP="00740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«9. Ежемесячная процентная надбавка к заработной плате за работу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районах Крайнего Севера и приравненных к ним местностях устанавливаетс</w:t>
      </w:r>
      <w:r w:rsidR="003749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порядке и размерах, определё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решением Думы города от 28.06.2007 № 233-</w:t>
      </w:r>
      <w:r w:rsidRPr="00D87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7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ДГ «О Положении 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городского округа город Сургут».</w:t>
      </w:r>
    </w:p>
    <w:p w:rsidR="00D8795E" w:rsidRPr="00D8795E" w:rsidRDefault="00D8795E" w:rsidP="00740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Районный коэффициент к заработной плате за работу в районах Крайнего Севера и приравненных к ним местностях устанавливается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 1,7.</w:t>
      </w:r>
    </w:p>
    <w:p w:rsidR="00D8795E" w:rsidRPr="00D8795E" w:rsidRDefault="00D8795E" w:rsidP="00740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надбавки в соответствии с федеральным законодательством.</w:t>
      </w:r>
    </w:p>
    <w:p w:rsidR="00D8795E" w:rsidRPr="00D8795E" w:rsidRDefault="00D8795E" w:rsidP="00740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Размеры, порядок и условия выплаты надбавок, указанных в настоящем пункте, устанавливаются в соответствии с федеральным законодательством, которым они предусмотрены»;</w:t>
      </w:r>
    </w:p>
    <w:p w:rsidR="00D8795E" w:rsidRPr="00D8795E" w:rsidRDefault="0037495C" w:rsidP="003749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II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решению:</w:t>
      </w:r>
    </w:p>
    <w:p w:rsidR="00D8795E" w:rsidRPr="00D8795E" w:rsidRDefault="00D8795E" w:rsidP="003749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 изложить в следующей редакции: </w:t>
      </w:r>
    </w:p>
    <w:p w:rsidR="00D8795E" w:rsidRPr="00D8795E" w:rsidRDefault="00D8795E" w:rsidP="003749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Должностные оклады муниципальных служащих.</w:t>
      </w:r>
    </w:p>
    <w:p w:rsid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муниципальных служащих устанавливается работодателем в следующих размерах:</w:t>
      </w:r>
    </w:p>
    <w:p w:rsidR="0037495C" w:rsidRDefault="0037495C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170"/>
        <w:gridCol w:w="2410"/>
      </w:tblGrid>
      <w:tr w:rsidR="0037495C" w:rsidRPr="0037495C" w:rsidTr="00DF2357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Функциональные признаки/группы/</w:t>
            </w:r>
          </w:p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37495C" w:rsidRPr="0037495C" w:rsidTr="0037495C">
        <w:trPr>
          <w:trHeight w:val="511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Руководитель/высшая</w:t>
            </w:r>
          </w:p>
        </w:tc>
      </w:tr>
      <w:tr w:rsidR="0037495C" w:rsidRPr="0037495C" w:rsidTr="0037495C">
        <w:trPr>
          <w:trHeight w:val="443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14 975</w:t>
            </w:r>
          </w:p>
        </w:tc>
      </w:tr>
      <w:tr w:rsidR="0037495C" w:rsidRPr="0037495C" w:rsidTr="0037495C">
        <w:trPr>
          <w:trHeight w:val="443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14 150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DF2357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города –</w:t>
            </w:r>
            <w:r w:rsidR="0037495C"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13 586</w:t>
            </w:r>
          </w:p>
        </w:tc>
      </w:tr>
      <w:tr w:rsidR="0037495C" w:rsidRPr="0037495C" w:rsidTr="0037495C">
        <w:trPr>
          <w:trHeight w:val="41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11 122</w:t>
            </w:r>
          </w:p>
        </w:tc>
      </w:tr>
      <w:tr w:rsidR="0037495C" w:rsidRPr="0037495C" w:rsidTr="0037495C">
        <w:trPr>
          <w:trHeight w:val="41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палаты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9 258</w:t>
            </w:r>
          </w:p>
        </w:tc>
      </w:tr>
      <w:tr w:rsidR="0037495C" w:rsidRPr="0037495C" w:rsidTr="0037495C">
        <w:trPr>
          <w:trHeight w:val="41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9 025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Администрации города, директор деп</w:t>
            </w:r>
            <w:r w:rsidR="00C272A5">
              <w:rPr>
                <w:rFonts w:ascii="Times New Roman" w:eastAsia="Calibri" w:hAnsi="Times New Roman" w:cs="Times New Roman"/>
                <w:sz w:val="28"/>
                <w:szCs w:val="28"/>
              </w:rPr>
              <w:t>артамента Администрации города –</w:t>
            </w: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главный архитектор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9 258</w:t>
            </w:r>
          </w:p>
        </w:tc>
      </w:tr>
      <w:tr w:rsidR="0037495C" w:rsidRPr="0037495C" w:rsidTr="0037495C">
        <w:trPr>
          <w:trHeight w:val="4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9 258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Администрации города, начальник у</w:t>
            </w:r>
            <w:r w:rsidR="00C272A5">
              <w:rPr>
                <w:rFonts w:ascii="Times New Roman" w:eastAsia="Calibri" w:hAnsi="Times New Roman" w:cs="Times New Roman"/>
                <w:sz w:val="28"/>
                <w:szCs w:val="28"/>
              </w:rPr>
              <w:t>правления Администрации города –</w:t>
            </w: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9 258</w:t>
            </w:r>
          </w:p>
        </w:tc>
      </w:tr>
      <w:tr w:rsidR="0037495C" w:rsidRPr="0037495C" w:rsidTr="0037495C">
        <w:trPr>
          <w:trHeight w:val="551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аппарата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8 327</w:t>
            </w:r>
          </w:p>
        </w:tc>
      </w:tr>
      <w:tr w:rsidR="0037495C" w:rsidRPr="0037495C" w:rsidTr="0037495C">
        <w:trPr>
          <w:trHeight w:val="546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Руководитель/главная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Контрольно-счетной палаты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8 830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8 830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8 238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Администрации города, заместитель начальника у</w:t>
            </w:r>
            <w:r w:rsidR="00C272A5">
              <w:rPr>
                <w:rFonts w:ascii="Times New Roman" w:eastAsia="Calibri" w:hAnsi="Times New Roman" w:cs="Times New Roman"/>
                <w:sz w:val="28"/>
                <w:szCs w:val="28"/>
              </w:rPr>
              <w:t>правления Администрации города –</w:t>
            </w: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главного бухгалтера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8 238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управляющего делами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8 702</w:t>
            </w:r>
          </w:p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в составе департамента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8 830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в составе департамента, комитета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8 118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отдела, службы Администрации города, аппарата Думы города, Контрольно-счетной палаты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8 007</w:t>
            </w:r>
          </w:p>
        </w:tc>
      </w:tr>
      <w:tr w:rsidR="0037495C" w:rsidRPr="0037495C" w:rsidTr="0037495C">
        <w:trPr>
          <w:trHeight w:val="7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C272A5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отдела, службы –</w:t>
            </w:r>
            <w:r w:rsidR="0037495C"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главный бухгалтер аппарата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8 007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аппарата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8 007</w:t>
            </w:r>
          </w:p>
        </w:tc>
      </w:tr>
      <w:tr w:rsidR="0037495C" w:rsidRPr="0037495C" w:rsidTr="0037495C">
        <w:trPr>
          <w:trHeight w:val="53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8 067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Руководитель/ведущая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 в составе департамента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8 007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в составе департамента, комитета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8 007</w:t>
            </w:r>
          </w:p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отдела, службы в составе управления аппарата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7 634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отдела, службы в составе департамента, комитета, управления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6 772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отдела, службы Администрации города, аппарата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6 312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в составе департамента, комитета, управления </w:t>
            </w: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6 312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Замести</w:t>
            </w:r>
            <w:r w:rsidR="00C272A5">
              <w:rPr>
                <w:rFonts w:ascii="Times New Roman" w:eastAsia="Calibri" w:hAnsi="Times New Roman" w:cs="Times New Roman"/>
                <w:sz w:val="28"/>
                <w:szCs w:val="28"/>
              </w:rPr>
              <w:t>тель начальника отдела, службы –</w:t>
            </w: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главного бухгалтера аппарата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6 312</w:t>
            </w:r>
          </w:p>
        </w:tc>
      </w:tr>
      <w:tr w:rsidR="0037495C" w:rsidRPr="0037495C" w:rsidTr="0037495C">
        <w:trPr>
          <w:trHeight w:val="525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Помощник (советник)/главная</w:t>
            </w:r>
          </w:p>
        </w:tc>
      </w:tr>
      <w:tr w:rsidR="0037495C" w:rsidRPr="0037495C" w:rsidTr="0037495C">
        <w:trPr>
          <w:trHeight w:val="473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8 153</w:t>
            </w:r>
          </w:p>
        </w:tc>
      </w:tr>
      <w:tr w:rsidR="0037495C" w:rsidRPr="0037495C" w:rsidTr="0037495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Помощник, советник, консультант Председателя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8 153</w:t>
            </w:r>
          </w:p>
        </w:tc>
      </w:tr>
      <w:tr w:rsidR="0037495C" w:rsidRPr="0037495C" w:rsidTr="0037495C">
        <w:trPr>
          <w:trHeight w:val="475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Пресс-секретарь Председателя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7 707</w:t>
            </w:r>
          </w:p>
        </w:tc>
      </w:tr>
      <w:tr w:rsidR="0037495C" w:rsidRPr="0037495C" w:rsidTr="0037495C">
        <w:trPr>
          <w:trHeight w:val="41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Специалист/главная</w:t>
            </w:r>
          </w:p>
        </w:tc>
      </w:tr>
      <w:tr w:rsidR="0037495C" w:rsidRPr="0037495C" w:rsidTr="0037495C">
        <w:trPr>
          <w:trHeight w:val="41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6 153</w:t>
            </w:r>
          </w:p>
        </w:tc>
      </w:tr>
      <w:tr w:rsidR="0037495C" w:rsidRPr="0037495C" w:rsidTr="0037495C">
        <w:trPr>
          <w:trHeight w:val="41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6 182</w:t>
            </w:r>
          </w:p>
        </w:tc>
      </w:tr>
      <w:tr w:rsidR="0037495C" w:rsidRPr="0037495C" w:rsidTr="0037495C">
        <w:trPr>
          <w:trHeight w:val="41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Специалист/ведущая</w:t>
            </w:r>
          </w:p>
        </w:tc>
      </w:tr>
      <w:tr w:rsidR="0037495C" w:rsidRPr="0037495C" w:rsidTr="0037495C">
        <w:trPr>
          <w:trHeight w:val="41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6 081</w:t>
            </w:r>
          </w:p>
        </w:tc>
      </w:tr>
      <w:tr w:rsidR="0037495C" w:rsidRPr="0037495C" w:rsidTr="0037495C">
        <w:trPr>
          <w:trHeight w:val="419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6 081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6 081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Специалист/старшая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5 537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4 847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Обеспечивающий специалист/ведущая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5 849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5 849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5 849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Обеспечивающий специалист/старшая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5 307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4 743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Обеспечивающий специалист/младшая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4 208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3 542</w:t>
            </w:r>
          </w:p>
        </w:tc>
      </w:tr>
      <w:tr w:rsidR="0037495C" w:rsidRPr="0037495C" w:rsidTr="0037495C">
        <w:trPr>
          <w:trHeight w:val="39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5C" w:rsidRPr="0037495C" w:rsidRDefault="0037495C" w:rsidP="00C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495C" w:rsidRPr="0037495C" w:rsidRDefault="0037495C" w:rsidP="003749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95C">
              <w:rPr>
                <w:rFonts w:ascii="Times New Roman" w:eastAsia="Calibri" w:hAnsi="Times New Roman" w:cs="Times New Roman"/>
                <w:sz w:val="28"/>
                <w:szCs w:val="28"/>
              </w:rPr>
              <w:t>3 105</w:t>
            </w:r>
          </w:p>
        </w:tc>
      </w:tr>
    </w:tbl>
    <w:p w:rsid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3 дополнить абзацами следующего содержания: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исключительных случаях работодатель вправе увеличить ко</w:t>
      </w:r>
      <w:r w:rsidR="00AE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нкретным муниципальным служащим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ежемесячной (персонально</w:t>
      </w:r>
      <w:r w:rsidR="007408BF">
        <w:rPr>
          <w:rFonts w:ascii="Times New Roman" w:eastAsia="Times New Roman" w:hAnsi="Times New Roman" w:cs="Times New Roman"/>
          <w:sz w:val="28"/>
          <w:szCs w:val="28"/>
          <w:lang w:eastAsia="ru-RU"/>
        </w:rPr>
        <w:t>й) выплаты за сложность, напряжё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и высокие достижения в работе, но не более двукратного максимального размера по соответствующей группе должностей. </w:t>
      </w:r>
    </w:p>
    <w:p w:rsidR="00D8795E" w:rsidRPr="00D8795E" w:rsidRDefault="007408BF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Исключительными случаями признаё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наличие двух и более показателей по каждому из критериев в целях начисления ежемесячной (персонально</w:t>
      </w:r>
      <w:r w:rsid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й) выплаты за сложность, напряжё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и высок</w:t>
      </w:r>
      <w:r w:rsid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достижения в работе, утверждённых решением Думы города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5 дополнить абзацами следующего содержания:</w:t>
      </w:r>
    </w:p>
    <w:p w:rsidR="00964ACD" w:rsidRPr="00964ACD" w:rsidRDefault="00964ACD" w:rsidP="00964A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исключительных случаях работодатель вправе увеличить ко</w:t>
      </w:r>
      <w:r w:rsidR="00AE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нкретным муниципальным служащим</w:t>
      </w: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ежемесячной надбавки </w:t>
      </w:r>
      <w:r w:rsidR="00AE1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должностному окладу за особые условия муниципальной службы, но не более двукратного максимального размера по соответствующей группе должностей.</w:t>
      </w:r>
    </w:p>
    <w:p w:rsidR="00964ACD" w:rsidRPr="00964ACD" w:rsidRDefault="00964ACD" w:rsidP="00964A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Исключительными случаями признаё</w:t>
      </w: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наличие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из следующих показателей:</w:t>
      </w:r>
    </w:p>
    <w:p w:rsidR="00964ACD" w:rsidRPr="00964ACD" w:rsidRDefault="00964ACD" w:rsidP="00792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высшим должностным лицом Администрации города, структурным подразделением Администрации города функций кураторства 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муниципальных организаций;</w:t>
      </w:r>
    </w:p>
    <w:p w:rsidR="00964ACD" w:rsidRPr="00964ACD" w:rsidRDefault="00964ACD" w:rsidP="00792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статуса юридического лица у возглавляем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структурного подразделения;</w:t>
      </w:r>
    </w:p>
    <w:p w:rsidR="00964ACD" w:rsidRPr="00964ACD" w:rsidRDefault="00964ACD" w:rsidP="00792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структурных подразделений, находящихся в подчинении высшего должностного лица Администрации города в соответствии 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структуро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Администрации города</w:t>
      </w:r>
      <w:r w:rsidR="00AE14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трёх;</w:t>
      </w:r>
    </w:p>
    <w:p w:rsidR="00964ACD" w:rsidRPr="00964ACD" w:rsidRDefault="00964ACD" w:rsidP="00792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качестве докладчика (содокладчика) на заседаниях постоянных комитетов Думы города, депутатских слушаниях, заседаниях Думы города;</w:t>
      </w:r>
    </w:p>
    <w:p w:rsidR="00964ACD" w:rsidRPr="00792E6A" w:rsidRDefault="00964ACD" w:rsidP="00964ACD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E6A">
        <w:rPr>
          <w:rFonts w:ascii="Times New Roman" w:eastAsia="Calibri" w:hAnsi="Times New Roman" w:cs="Times New Roman"/>
          <w:sz w:val="28"/>
          <w:szCs w:val="28"/>
        </w:rPr>
        <w:t xml:space="preserve">подготовка информации, документов и материалов, необходимых </w:t>
      </w:r>
      <w:r w:rsidR="00792E6A">
        <w:rPr>
          <w:rFonts w:ascii="Times New Roman" w:eastAsia="Calibri" w:hAnsi="Times New Roman" w:cs="Times New Roman"/>
          <w:sz w:val="28"/>
          <w:szCs w:val="28"/>
        </w:rPr>
        <w:br/>
      </w:r>
      <w:r w:rsidRPr="00792E6A">
        <w:rPr>
          <w:rFonts w:ascii="Times New Roman" w:eastAsia="Calibri" w:hAnsi="Times New Roman" w:cs="Times New Roman"/>
          <w:sz w:val="28"/>
          <w:szCs w:val="28"/>
        </w:rPr>
        <w:t>для выступлений докладчиков (содокладчиков) на заседаниях постоянных комитетов Думы города, депутатских слушаниях, заседаниях Думы города, комиссий, рабочих групп и иных совещательных орг</w:t>
      </w:r>
      <w:r w:rsidR="00AE14D2">
        <w:rPr>
          <w:rFonts w:ascii="Times New Roman" w:eastAsia="Calibri" w:hAnsi="Times New Roman" w:cs="Times New Roman"/>
          <w:sz w:val="28"/>
          <w:szCs w:val="28"/>
        </w:rPr>
        <w:t>анов при органах местного самоуправления города</w:t>
      </w:r>
      <w:r w:rsidRPr="00792E6A">
        <w:rPr>
          <w:rFonts w:ascii="Times New Roman" w:eastAsia="Calibri" w:hAnsi="Times New Roman" w:cs="Times New Roman"/>
          <w:sz w:val="28"/>
          <w:szCs w:val="28"/>
        </w:rPr>
        <w:t>»</w:t>
      </w:r>
      <w:r w:rsidR="00792E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795E" w:rsidRPr="00D8795E" w:rsidRDefault="00D8795E" w:rsidP="00964ACD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8 изложить в следующей редакции: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Премии за выполнение особо важных и сложных заданий могут быть выплачены в размере не более одного месячного фонда оплаты труда, но не более двух меся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фондов оплаты труда в год»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пункт 8.1 изложить в следующей редакции: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«8.1. Денежное поощрение по результатам работы за квартал выплачивается в размере должностного оклада с применением районного коэффициента и процентной надбавки за работу в районах Крайнего Севера 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равненных к ним местностях с учё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критериев оценки эффективности и результативности деятельности муниципальных служащих органов местного самоуправления, ут</w:t>
      </w:r>
      <w:r w:rsidR="00792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верждённых решением Думы города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пункте 9 слово «трех» заменить словом «двух»;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пункты 10, 11 изложить в следующей редакции:</w:t>
      </w:r>
    </w:p>
    <w:p w:rsidR="00D8795E" w:rsidRPr="00D8795E" w:rsidRDefault="00792E6A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Единовременная выплата при предоставлении ежегодного оплачиваемого отпуска выплачивается в размере двух с половиной месячных фондов оплаты труда, установленных на день издания муниципального правового акта о предоставлении ежегодного оплачиваемого отпуска работнику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календарном году при предоставлении муниципальному служащему ежегодного оплачиваемого отпуска.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Материальная помощь в связи со смертью близких родственников (родители, муж (жена), дети) выплачивается в размере одного месячного фонда оплаты труда, установленного на день издания муниципального правового акт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выплате материальной помощи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8795E" w:rsidRPr="00D8795E" w:rsidRDefault="009A7323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дополнить </w:t>
      </w:r>
      <w:r w:rsidR="00D8795E"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13, 14, 15 следующего содержания: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 Ежемесячная процентная надбавка к заработной плате за работу 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Крайнего Севера и приравненных к ним местностях устанавливаетс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порядке и размерах, определё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решением Думы города от 28.06.2007 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233-IV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ДГ «О Положении 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городского округа город Сургут».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Районный коэффициент к заработной плате за работу в районах Крайнего Севера и приравненных к ним местностях устанавливается в размере 1,7.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Иные выплаты, предусмотренные федеральными законами 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нормативными правовыми актами.</w:t>
      </w:r>
    </w:p>
    <w:p w:rsidR="00D8795E" w:rsidRPr="00D8795E" w:rsidRDefault="009A7323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доплаты за совмещение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(должностей), увеличение объё</w:t>
      </w: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работы, исполнение обязанностей временно отсутствующего работника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 от работы, определё</w:t>
      </w: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трудовым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по соглашению сторон трудового договора, но не более 50</w:t>
      </w:r>
      <w:r w:rsidR="0074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должностного оклад</w:t>
      </w:r>
      <w:r w:rsidR="00AE14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служащего по</w:t>
      </w: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r w:rsidR="00AE1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которой осуществляется исполнение обязанностей муниципальным служащим (должности временно отсутствующего работника или вакантной),</w:t>
      </w: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</w:t>
      </w:r>
      <w:r w:rsidRP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надбавок и выплат, установл</w:t>
      </w:r>
      <w:r w:rsidR="00AE1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по его основной должности, на основании распоряжения работодателя.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Размеры, порядок и условия выплат, указанных в настоящем пункте, устанавливаются в соответствии с федеральными законами и другими нормативными правовыми актами, которыми они предусмотрены».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утратившими силу решения Думы города: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20.09.2007 № 247-IV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ДГ «Об установлении единой схемы должностных окладов муниципальных служащих органов местного самоуправления муниципального образования городской округ город Сургут»;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28.05.2009 № 576-IV</w:t>
      </w:r>
      <w:r w:rsidR="009A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ДГ «О представлении прокурора города Сургута»;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03.05.2011 № 18-V ДГ «Об установлении размеров ежемесячного денежного вознаграждения лиц, замещающих муниципальные должности, осуществляющих свои полномочия на постоянной основе в органах местного самоуправления муниципального образования городской округ город Сургут»;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03.05.2011 № 19-V ДГ «О внесении изменений в решение Думы города от 20.09.2007 № 247-IV ДГ «Об установлении единой схемы должностных окладов муниципальных служащих органов местного самоуправления муниципального образования городской округ город Сургут»;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24.05.2012 № 190-V ДГ «О внесении изменений в решение Думы города от 20.09.2007 № 247-IV ДГ «Об установлении единой схемы должностных окладов муниципальных служащих органов местного самоуправления муниципального образования городской округ город Сургут»;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26.12.2012 № 276-V ДГ «О внесении изменений в решение Думы города от 20.09.2007 № 247-IV ДГ «Об установлении единой схемы должностных окладов муниципальных служащих органов местного самоуправления муниципального образования городской округ город Сургут»;</w:t>
      </w:r>
    </w:p>
    <w:p w:rsidR="00D8795E" w:rsidRP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30.09.2013 № 388-V ДГ «О внесении изменений в решение Думы города от 20.09.2007 № 247-IV ДГ «Об установлении единой схемы должностных окладов муниципальных служащих органов местного самоуправления муниципального образования городской округ город Сургут».</w:t>
      </w:r>
    </w:p>
    <w:p w:rsid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7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 01.01.2018, за исключением подпунктов «б», «в» пункта 4 части 1 настоящего решения, вступающих в силу после официального опубликования.</w:t>
      </w:r>
    </w:p>
    <w:p w:rsidR="00D8795E" w:rsidRDefault="00D8795E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BF" w:rsidRDefault="007408BF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BF" w:rsidRDefault="007408BF" w:rsidP="00D8795E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D8795E" w:rsidRPr="00A84397" w:rsidTr="00891522">
        <w:tc>
          <w:tcPr>
            <w:tcW w:w="4800" w:type="dxa"/>
          </w:tcPr>
          <w:p w:rsidR="00D8795E" w:rsidRPr="00A84397" w:rsidRDefault="00D8795E" w:rsidP="00891522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D8795E" w:rsidRPr="00A84397" w:rsidRDefault="00D8795E" w:rsidP="00891522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795E" w:rsidRPr="00A84397" w:rsidRDefault="00D8795E" w:rsidP="00891522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D8795E" w:rsidRPr="00A84397" w:rsidRDefault="00D8795E" w:rsidP="00891522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795E" w:rsidRPr="00A84397" w:rsidRDefault="00D8795E" w:rsidP="008915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115707">
              <w:rPr>
                <w:rFonts w:ascii="Times New Roman" w:eastAsia="Calibri" w:hAnsi="Times New Roman" w:cs="Times New Roman"/>
                <w:sz w:val="28"/>
                <w:u w:val="single"/>
              </w:rPr>
              <w:t>31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15707">
              <w:rPr>
                <w:rFonts w:ascii="Times New Roman" w:eastAsia="Calibri" w:hAnsi="Times New Roman" w:cs="Times New Roman"/>
                <w:sz w:val="28"/>
                <w:u w:val="single"/>
              </w:rPr>
              <w:t>октября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D8795E" w:rsidRPr="00A84397" w:rsidRDefault="00D8795E" w:rsidP="00891522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D8795E" w:rsidRPr="00A84397" w:rsidRDefault="00D8795E" w:rsidP="00891522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8795E" w:rsidRPr="00A84397" w:rsidRDefault="00D8795E" w:rsidP="00891522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D8795E" w:rsidRPr="00A84397" w:rsidRDefault="00D8795E" w:rsidP="00891522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795E" w:rsidRPr="00A84397" w:rsidRDefault="00D8795E" w:rsidP="00891522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115707">
              <w:rPr>
                <w:rFonts w:ascii="Times New Roman" w:eastAsia="Calibri" w:hAnsi="Times New Roman" w:cs="Times New Roman"/>
                <w:sz w:val="28"/>
                <w:u w:val="single"/>
              </w:rPr>
              <w:t>02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15707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  <w:r w:rsidR="007408B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</w:tbl>
    <w:p w:rsidR="00BB7972" w:rsidRDefault="00C153C9" w:rsidP="007408BF">
      <w:bookmarkStart w:id="0" w:name="_GoBack"/>
      <w:bookmarkEnd w:id="0"/>
    </w:p>
    <w:sectPr w:rsidR="00BB7972" w:rsidSect="007408BF">
      <w:footerReference w:type="default" r:id="rId8"/>
      <w:pgSz w:w="11906" w:h="16838"/>
      <w:pgMar w:top="1077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C9" w:rsidRDefault="00C153C9" w:rsidP="00951E2D">
      <w:pPr>
        <w:spacing w:after="0" w:line="240" w:lineRule="auto"/>
      </w:pPr>
      <w:r>
        <w:separator/>
      </w:r>
    </w:p>
  </w:endnote>
  <w:endnote w:type="continuationSeparator" w:id="0">
    <w:p w:rsidR="00C153C9" w:rsidRDefault="00C153C9" w:rsidP="0095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271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E2D" w:rsidRPr="00951E2D" w:rsidRDefault="00951E2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51E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E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E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70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51E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C9" w:rsidRDefault="00C153C9" w:rsidP="00951E2D">
      <w:pPr>
        <w:spacing w:after="0" w:line="240" w:lineRule="auto"/>
      </w:pPr>
      <w:r>
        <w:separator/>
      </w:r>
    </w:p>
  </w:footnote>
  <w:footnote w:type="continuationSeparator" w:id="0">
    <w:p w:rsidR="00C153C9" w:rsidRDefault="00C153C9" w:rsidP="0095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8EB"/>
    <w:multiLevelType w:val="hybridMultilevel"/>
    <w:tmpl w:val="D83E49C2"/>
    <w:lvl w:ilvl="0" w:tplc="EB14F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A514E47"/>
    <w:multiLevelType w:val="hybridMultilevel"/>
    <w:tmpl w:val="4B4AD228"/>
    <w:lvl w:ilvl="0" w:tplc="D4C87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5E"/>
    <w:rsid w:val="00115707"/>
    <w:rsid w:val="00150BFE"/>
    <w:rsid w:val="00291596"/>
    <w:rsid w:val="0037495C"/>
    <w:rsid w:val="004B4C40"/>
    <w:rsid w:val="0051114E"/>
    <w:rsid w:val="007408BF"/>
    <w:rsid w:val="00792E6A"/>
    <w:rsid w:val="00922A0E"/>
    <w:rsid w:val="00927A0C"/>
    <w:rsid w:val="00951E2D"/>
    <w:rsid w:val="00964ACD"/>
    <w:rsid w:val="009A7323"/>
    <w:rsid w:val="00A97E65"/>
    <w:rsid w:val="00AE14D2"/>
    <w:rsid w:val="00C153C9"/>
    <w:rsid w:val="00C272A5"/>
    <w:rsid w:val="00C7229B"/>
    <w:rsid w:val="00D8795E"/>
    <w:rsid w:val="00DF2357"/>
    <w:rsid w:val="00E41721"/>
    <w:rsid w:val="00E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2CAC-425B-4884-8CDB-677845D2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E2D"/>
  </w:style>
  <w:style w:type="paragraph" w:styleId="a5">
    <w:name w:val="footer"/>
    <w:basedOn w:val="a"/>
    <w:link w:val="a6"/>
    <w:uiPriority w:val="99"/>
    <w:unhideWhenUsed/>
    <w:rsid w:val="0095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8</cp:revision>
  <dcterms:created xsi:type="dcterms:W3CDTF">2017-10-20T09:03:00Z</dcterms:created>
  <dcterms:modified xsi:type="dcterms:W3CDTF">2017-11-03T04:56:00Z</dcterms:modified>
</cp:coreProperties>
</file>