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B16" w:rsidRDefault="00EA1E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Распоряжение Администрации города №2186 от 11.11.2016 «</w:t>
      </w:r>
      <w:r w:rsidR="0001589B">
        <w:rPr>
          <w:rFonts w:ascii="Times New Roman" w:hAnsi="Times New Roman" w:cs="Times New Roman"/>
          <w:bCs/>
          <w:sz w:val="28"/>
          <w:szCs w:val="28"/>
        </w:rPr>
        <w:t>О внесении изменений в распоряжение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589B">
        <w:rPr>
          <w:rFonts w:ascii="Times New Roman" w:hAnsi="Times New Roman" w:cs="Times New Roman"/>
          <w:bCs/>
          <w:sz w:val="28"/>
          <w:szCs w:val="28"/>
        </w:rPr>
        <w:t>Администрации города от 17.10.2016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589B">
        <w:rPr>
          <w:rFonts w:ascii="Times New Roman" w:hAnsi="Times New Roman" w:cs="Times New Roman"/>
          <w:bCs/>
          <w:sz w:val="28"/>
          <w:szCs w:val="28"/>
        </w:rPr>
        <w:t>№ 1990 «Об утверждении методики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589B">
        <w:rPr>
          <w:rFonts w:ascii="Times New Roman" w:hAnsi="Times New Roman" w:cs="Times New Roman"/>
          <w:bCs/>
          <w:sz w:val="28"/>
          <w:szCs w:val="28"/>
        </w:rPr>
        <w:t xml:space="preserve">прогнозирования </w:t>
      </w:r>
      <w:r w:rsidR="0001589B">
        <w:rPr>
          <w:rFonts w:ascii="Times New Roman" w:hAnsi="Times New Roman" w:cs="Times New Roman"/>
          <w:sz w:val="28"/>
          <w:szCs w:val="28"/>
        </w:rPr>
        <w:t>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89B">
        <w:rPr>
          <w:rFonts w:ascii="Times New Roman" w:hAnsi="Times New Roman" w:cs="Times New Roman"/>
          <w:sz w:val="28"/>
          <w:szCs w:val="28"/>
        </w:rPr>
        <w:t>и источников финансирования дефицита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89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158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администратора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89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Администрации города Сургута»</w:t>
      </w:r>
    </w:p>
    <w:p w:rsidR="00B31B16" w:rsidRDefault="00B31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B16" w:rsidRDefault="00B31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ст.160.1, 160.2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постановлениями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26.05.2016           № 469 «Об общих требованиях к методике прогнозирования поступлений            по источникам финансирования дефицита бюджета», от 23.06.2016 № 574            «Об общих требованиях к методике прогнозирования поступлений доходов         в бюджеты бюджетной системы Российской Федерации»,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уточнения</w:t>
      </w:r>
      <w:r>
        <w:rPr>
          <w:rFonts w:ascii="Times New Roman" w:hAnsi="Times New Roman" w:cs="Times New Roman"/>
          <w:sz w:val="28"/>
          <w:szCs w:val="28"/>
        </w:rPr>
        <w:t xml:space="preserve"> единой методологической базы прогнозирования доходов, подлежащих зачислению в бюджет городского округа город Сургут: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распоряжение Администрации города от 17.10.2016 № 1990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«Об утверждении методики прогнозирования неналоговых доходов и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финансирования дефицита бюджета главного администратора доходов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Сургута» следующие изменения: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распоряжению: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подпункте </w:t>
      </w:r>
      <w:r>
        <w:rPr>
          <w:rFonts w:ascii="Times New Roman" w:hAnsi="Times New Roman" w:cs="Times New Roman"/>
          <w:sz w:val="28"/>
          <w:szCs w:val="28"/>
        </w:rPr>
        <w:t>2.2.4.2 пункта 2.2.4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«в настоящей методике k = 0,5» заменить словами «в настоящей методике k = 0,2».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2.2.5.2 пункта 2.2.5 изложить в следующей редакции: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«2.2.5.2. Доходы от сдачи в коммерческий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жилых помещений: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очеред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кн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12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кн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12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 xml:space="preserve"> + 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кн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12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 xml:space="preserve"> +Д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очеред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пл2 </w:t>
      </w:r>
      <w:r>
        <w:rPr>
          <w:rFonts w:ascii="Times New Roman" w:hAnsi="Times New Roman" w:cs="Times New Roman"/>
          <w:sz w:val="28"/>
          <w:szCs w:val="28"/>
        </w:rPr>
        <w:t xml:space="preserve">– сумма поступлений платы за пользование                </w:t>
      </w:r>
      <w:r>
        <w:rPr>
          <w:rFonts w:ascii="Times New Roman" w:hAnsi="Times New Roman" w:cs="Times New Roman"/>
          <w:spacing w:val="-6"/>
          <w:sz w:val="28"/>
          <w:szCs w:val="28"/>
        </w:rPr>
        <w:t>жилыми помещениями на условиях договоров коммерческого найма в очередном</w:t>
      </w:r>
      <w:r>
        <w:rPr>
          <w:rFonts w:ascii="Times New Roman" w:hAnsi="Times New Roman" w:cs="Times New Roman"/>
          <w:sz w:val="28"/>
          <w:szCs w:val="28"/>
        </w:rPr>
        <w:t xml:space="preserve"> финансовом году, первом году планового периода, втором году планового          периода соответственно;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кн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сумма начисленной в бухгалтерском учете платы от сдачи в коммерческий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жилых помещений в соответствии с договорами, заключенными                на 01 число месяца составления прогноза;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1, 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прогнозируемая сумма взыскания дебиторской задолженности по договорам коммерческого найма в очередном финансовом году,                  первом году планового периода и втором году планового периода соответственно рассчитывается по формуле: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4610" cy="230505"/>
            <wp:effectExtent l="19050" t="0" r="0" b="0"/>
            <wp:docPr id="1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885" cy="218440"/>
            <wp:effectExtent l="19050" t="0" r="0" b="0"/>
            <wp:docPr id="2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сумма взысканной дебиторской задолженности в предшествующем </w:t>
      </w:r>
      <w:r>
        <w:rPr>
          <w:rFonts w:ascii="Times New Roman" w:hAnsi="Times New Roman" w:cs="Times New Roman"/>
          <w:sz w:val="28"/>
          <w:szCs w:val="28"/>
        </w:rPr>
        <w:t>финансовом году;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345" cy="230505"/>
            <wp:effectExtent l="19050" t="0" r="8255" b="0"/>
            <wp:docPr id="3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фактический объем дебиторской задолженности на начало предшествующего финансового года;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835" cy="230505"/>
            <wp:effectExtent l="19050" t="0" r="0" b="0"/>
            <wp:docPr id="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– фактический объем дебиторской задолженности на начало текущего года.  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предоставляются департаментом городского хозяйства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бюджетного учёта и отчётности в сроки, установленные главным администратором доходов бюджета».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2.2.5 дополнить подпунктом 2.2.5.4 следующего содержания: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«2.2.5.4. Доходы от сдачи в социальный наем жилых помещений: 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ксн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пл1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12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 xml:space="preserve"> х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ксн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пл1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12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 xml:space="preserve"> х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ксн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пл2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12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 xml:space="preserve"> х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ксн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пл1,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ксн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пл1,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ксн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пл2 </w:t>
      </w:r>
      <w:r>
        <w:rPr>
          <w:rFonts w:ascii="Times New Roman" w:hAnsi="Times New Roman" w:cs="Times New Roman"/>
          <w:sz w:val="28"/>
          <w:szCs w:val="28"/>
        </w:rPr>
        <w:t xml:space="preserve">– сумма поступлений платы за пользование жилыми помещениями на условиях договоров социального найма в очередном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финан-совом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году, первом году планового периода, втором году планового периода соответственно;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сн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– сумма начисленной в бухгалтерском учете платы от сдачи в социальный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жилых помещений в соответствии с договорами, заключенными                        на 01 число месяца составления прогноза;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поправочный коэффициент, учитывающий динамику роста/снижения количества заключенных договоров найма, рассчитанный по формуле: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</w:rPr>
        <w:t>= (S</w:t>
      </w:r>
      <w:r>
        <w:rPr>
          <w:rFonts w:ascii="Times New Roman" w:hAnsi="Times New Roman" w:cs="Times New Roman"/>
          <w:sz w:val="28"/>
          <w:szCs w:val="28"/>
          <w:vertAlign w:val="subscript"/>
        </w:rPr>
        <w:t>n</w:t>
      </w:r>
      <w:r>
        <w:rPr>
          <w:rFonts w:ascii="Times New Roman" w:hAnsi="Times New Roman" w:cs="Times New Roman"/>
          <w:sz w:val="28"/>
          <w:szCs w:val="28"/>
        </w:rPr>
        <w:t>-2 / S</w:t>
      </w:r>
      <w:r>
        <w:rPr>
          <w:rFonts w:ascii="Times New Roman" w:hAnsi="Times New Roman" w:cs="Times New Roman"/>
          <w:sz w:val="28"/>
          <w:szCs w:val="28"/>
          <w:vertAlign w:val="subscript"/>
        </w:rPr>
        <w:t>n</w:t>
      </w:r>
      <w:r>
        <w:rPr>
          <w:rFonts w:ascii="Times New Roman" w:hAnsi="Times New Roman" w:cs="Times New Roman"/>
          <w:sz w:val="28"/>
          <w:szCs w:val="28"/>
        </w:rPr>
        <w:t>-3 + S</w:t>
      </w:r>
      <w:r>
        <w:rPr>
          <w:rFonts w:ascii="Times New Roman" w:hAnsi="Times New Roman" w:cs="Times New Roman"/>
          <w:sz w:val="28"/>
          <w:szCs w:val="28"/>
          <w:vertAlign w:val="subscript"/>
        </w:rPr>
        <w:t>n</w:t>
      </w:r>
      <w:r>
        <w:rPr>
          <w:rFonts w:ascii="Times New Roman" w:hAnsi="Times New Roman" w:cs="Times New Roman"/>
          <w:sz w:val="28"/>
          <w:szCs w:val="28"/>
        </w:rPr>
        <w:t>-1 / S</w:t>
      </w:r>
      <w:r>
        <w:rPr>
          <w:rFonts w:ascii="Times New Roman" w:hAnsi="Times New Roman" w:cs="Times New Roman"/>
          <w:sz w:val="28"/>
          <w:szCs w:val="28"/>
          <w:vertAlign w:val="subscript"/>
        </w:rPr>
        <w:t>n</w:t>
      </w:r>
      <w:r>
        <w:rPr>
          <w:rFonts w:ascii="Times New Roman" w:hAnsi="Times New Roman" w:cs="Times New Roman"/>
          <w:sz w:val="28"/>
          <w:szCs w:val="28"/>
        </w:rPr>
        <w:t>-2) / 2, где: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сумма начислений по договорам социального найма текущего года;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2, 3 – сумма начислений по договорам социального найма прошедших периодов (год, два, три соответственно);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пл1,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>
        <w:rPr>
          <w:rFonts w:ascii="Times New Roman" w:hAnsi="Times New Roman" w:cs="Times New Roman"/>
          <w:sz w:val="28"/>
          <w:szCs w:val="28"/>
        </w:rPr>
        <w:t xml:space="preserve"> – прогнозируемая сумма взыскания дебиторской задолженности по договорам социального найма в очередном финансовом году, первом году планового периода и втором году планового периода соответственно           рассчитывается по формуле: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4610" cy="230505"/>
            <wp:effectExtent l="19050" t="0" r="0" b="0"/>
            <wp:docPr id="6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7520" cy="230505"/>
            <wp:effectExtent l="19050" t="0" r="0" b="0"/>
            <wp:docPr id="7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сумма взысканной дебиторской задолженности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предшест-вующем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финансовом году;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345" cy="230505"/>
            <wp:effectExtent l="19050" t="0" r="8255" b="0"/>
            <wp:docPr id="9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фактический объем дебиторской задолженности на начало предшествующего финансового года;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835" cy="230505"/>
            <wp:effectExtent l="19050" t="0" r="0" b="0"/>
            <wp:docPr id="10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фактический объем дебиторской задолженности на начало         текущего года.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предоставляются департаментом городского хозяйства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бюджетного учёта и отчётности в сроки, установленные главным администратором доходов бюджета».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Подпункт 2.2.7.3 пункта 2.2.7 дополнить абзацем следующего содержания: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«Плановые назначения по доходам, поступающим в виде оплаты восстановительной стоимости зеленых насаждений, подлежащих сносу в рамках договоров комплексного освоения территорий и развития застроенных территорий, распределяются на очередной финансовый год и первый, второй год планового периода исходя из сведений, предоставленных застройщиками в соответствии    с планируемым освоением площадей части застраиваемого микрорайона, наличием финансирования, а также в зависимости от сроков оформления </w:t>
      </w:r>
      <w:r>
        <w:rPr>
          <w:rFonts w:ascii="Times New Roman" w:hAnsi="Times New Roman" w:cs="Times New Roman"/>
          <w:spacing w:val="-4"/>
          <w:sz w:val="28"/>
          <w:szCs w:val="28"/>
        </w:rPr>
        <w:t>застройщиком всех правоустанавливающих документов на земельные участки. Сведения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застройщиками в управление по природопользованию               и экологии».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Подпункт 2.2.9.3 пункта 2.2.9 изложить в следующей редакции: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«2.2.9.3.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</w:t>
      </w:r>
      <w:r>
        <w:rPr>
          <w:rFonts w:ascii="Times New Roman" w:hAnsi="Times New Roman" w:cs="Times New Roman"/>
          <w:spacing w:val="-6"/>
          <w:sz w:val="28"/>
          <w:szCs w:val="28"/>
        </w:rPr>
        <w:t>унитарных предприятий, в том числе казенных), в части реализации материальных</w:t>
      </w:r>
      <w:r>
        <w:rPr>
          <w:rFonts w:ascii="Times New Roman" w:hAnsi="Times New Roman" w:cs="Times New Roman"/>
          <w:sz w:val="28"/>
          <w:szCs w:val="28"/>
        </w:rPr>
        <w:t xml:space="preserve"> запасов по указанному имуществу.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Прогнозируемая сумма поступлений в бюджет города доходов от продажи </w:t>
      </w:r>
      <w:r>
        <w:rPr>
          <w:rFonts w:ascii="Times New Roman" w:hAnsi="Times New Roman" w:cs="Times New Roman"/>
          <w:spacing w:val="-6"/>
          <w:sz w:val="28"/>
          <w:szCs w:val="28"/>
        </w:rPr>
        <w:t>иного имущества в очередном финансовом году, первом году планового периода</w:t>
      </w:r>
      <w:r>
        <w:rPr>
          <w:rFonts w:ascii="Times New Roman" w:hAnsi="Times New Roman" w:cs="Times New Roman"/>
          <w:sz w:val="28"/>
          <w:szCs w:val="28"/>
        </w:rPr>
        <w:t xml:space="preserve">             и втором году планового периода равна сумме поступлений от продажи иного имущества в текущем финансовом году на дату составления проекта бюджета.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предоставляются администраторами доходов в управление             бюджетного учёта и отчётности по форме и в сроки, установленные главным администратором доходов бюджета».</w:t>
      </w:r>
    </w:p>
    <w:p w:rsidR="00B31B16" w:rsidRDefault="0001589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Подпункт 2.2.12.4 пункта 2.2.12 изложить в следующей редакции: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33"/>
      <w:r>
        <w:rPr>
          <w:rFonts w:ascii="Times New Roman" w:hAnsi="Times New Roman" w:cs="Times New Roman"/>
          <w:sz w:val="28"/>
          <w:szCs w:val="28"/>
        </w:rPr>
        <w:t>«2.2.12.4. Доходы от возврата организациями в бюджет города остатков субсидий прошлых лет планируются на основании ожидаемых поступлений            в текущем финансовом году».</w:t>
      </w:r>
    </w:p>
    <w:p w:rsidR="00B31B16" w:rsidRDefault="0001589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Подпункт 2.2.12.5 пункта 2.2.12 изложить в следующей редакции: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34"/>
      <w:bookmarkEnd w:id="0"/>
      <w:r>
        <w:rPr>
          <w:rFonts w:ascii="Times New Roman" w:hAnsi="Times New Roman" w:cs="Times New Roman"/>
          <w:sz w:val="28"/>
          <w:szCs w:val="28"/>
        </w:rPr>
        <w:t xml:space="preserve">«2.2.12.5 Доходы от возврата остатков субсидий, субвенций и иных             межбюджетных трансфертов, имеющих целевое назначение, прошлых лет             из бюджета городского округа планируются на основании </w:t>
      </w:r>
      <w:bookmarkEnd w:id="1"/>
      <w:r>
        <w:rPr>
          <w:rFonts w:ascii="Times New Roman" w:hAnsi="Times New Roman" w:cs="Times New Roman"/>
          <w:sz w:val="28"/>
          <w:szCs w:val="28"/>
        </w:rPr>
        <w:t>ожидаемых поступлений в текущем финансовом году».</w:t>
      </w:r>
    </w:p>
    <w:p w:rsidR="00B31B16" w:rsidRDefault="00B31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B16" w:rsidRDefault="00B31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B16" w:rsidRDefault="00B31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Пункт 3.1 изложить в следующей редакции:</w:t>
      </w:r>
    </w:p>
    <w:p w:rsidR="00B31B16" w:rsidRDefault="0001589B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«3.1. КБК 000 01 06 01 0004 0000 630 «Средства от продажи акций и иных форм участия в капитале, находящихся в собственности городских округов».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Расчеты прогноза средств от продажи акций и иных форм участия в </w:t>
      </w:r>
      <w:r>
        <w:rPr>
          <w:rFonts w:ascii="Times New Roman" w:hAnsi="Times New Roman" w:cs="Times New Roman"/>
          <w:spacing w:val="-4"/>
          <w:sz w:val="28"/>
          <w:szCs w:val="28"/>
        </w:rPr>
        <w:t>капитале, находящихся в собственности городских округов производится следующим</w:t>
      </w:r>
      <w:r>
        <w:rPr>
          <w:rFonts w:ascii="Times New Roman" w:hAnsi="Times New Roman" w:cs="Times New Roman"/>
          <w:sz w:val="28"/>
          <w:szCs w:val="28"/>
        </w:rPr>
        <w:t xml:space="preserve"> образом: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продажи акций, которые не могут продаваться на биржевых торгах: </w:t>
      </w:r>
    </w:p>
    <w:p w:rsidR="00B31B16" w:rsidRDefault="00B31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=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32"/>
          <w:szCs w:val="32"/>
          <w:vertAlign w:val="subscript"/>
        </w:rPr>
        <w:t>активы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акций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где:</w:t>
      </w:r>
    </w:p>
    <w:p w:rsidR="00B31B16" w:rsidRDefault="00B31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– прогнозируемая сумма поступлений в бюджет города источников               финансирования дефицита бюджета в виде продажи акции, которые не могут продаваться на биржевых торгах;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32"/>
          <w:szCs w:val="32"/>
          <w:vertAlign w:val="subscript"/>
        </w:rPr>
        <w:t>активы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величина чистых активов, рассчитанных по данным бухгалтерского баланса за отчетный год;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акций </w:t>
      </w:r>
      <w:r>
        <w:rPr>
          <w:rFonts w:ascii="Times New Roman" w:hAnsi="Times New Roman" w:cs="Times New Roman"/>
          <w:sz w:val="28"/>
          <w:szCs w:val="28"/>
        </w:rPr>
        <w:t>– доля приватизируемых акций в уставном капитале акционерного общества (приватизируемая доля в уставном капитале общества с ограниченной ответственностью).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прогнозируемого объема данного вида источников финансирования дефицита бюджета применяется метод прямого расчета.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продажи акций, которые могут продаваться на биржевых торгах: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АБТ </w:t>
      </w:r>
      <m:oMath>
        <m:r>
          <w:rPr>
            <w:rFonts w:ascii="Cambria Math" w:hAnsi="Times New Roman" w:cs="Times New Roman"/>
            <w:sz w:val="28"/>
            <w:szCs w:val="28"/>
            <w:vertAlign w:val="subscript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color w:val="333333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Times New Roman" w:cs="Times New Roman"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Times New Roman" w:cs="Times New Roman"/>
                    <w:color w:val="333333"/>
                    <w:sz w:val="28"/>
                    <w:szCs w:val="28"/>
                    <w:shd w:val="clear" w:color="auto" w:fill="FFFFFF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333333"/>
                    <w:sz w:val="28"/>
                    <w:szCs w:val="28"/>
                    <w:shd w:val="clear" w:color="auto" w:fill="FFFFFF"/>
                  </w:rPr>
                  <m:t xml:space="preserve">n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333333"/>
                    <w:sz w:val="28"/>
                    <w:szCs w:val="28"/>
                    <w:shd w:val="clear" w:color="auto" w:fill="FFFFFF"/>
                  </w:rPr>
                  <m:t>ц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333333"/>
                    <w:sz w:val="28"/>
                    <w:szCs w:val="28"/>
                    <w:shd w:val="clear" w:color="auto" w:fill="FFFFFF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333333"/>
                    <w:sz w:val="28"/>
                    <w:szCs w:val="28"/>
                    <w:shd w:val="clear" w:color="auto" w:fill="FFFFFF"/>
                  </w:rPr>
                  <m:t>сред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333333"/>
                    <w:sz w:val="28"/>
                    <w:szCs w:val="28"/>
                    <w:shd w:val="clear" w:color="auto" w:fill="FFFFFF"/>
                  </w:rPr>
                  <m:t xml:space="preserve">. </m:t>
                </m:r>
              </m:e>
            </m:nary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333333"/>
                <w:sz w:val="28"/>
                <w:szCs w:val="28"/>
                <w:shd w:val="clear" w:color="auto" w:fill="FFFFFF"/>
              </w:rPr>
              <m:t>n</m:t>
            </m:r>
          </m:den>
        </m:f>
      </m:oMath>
      <w:r>
        <w:rPr>
          <w:rFonts w:ascii="Times New Roman" w:hAnsi="Times New Roman" w:cs="Times New Roman"/>
          <w:b/>
          <w:i/>
          <w:sz w:val="28"/>
          <w:szCs w:val="28"/>
        </w:rPr>
        <w:t xml:space="preserve"> ×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>пр.ак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где: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АБТ </w:t>
      </w:r>
      <w:r>
        <w:rPr>
          <w:rFonts w:ascii="Times New Roman" w:hAnsi="Times New Roman" w:cs="Times New Roman"/>
          <w:sz w:val="28"/>
          <w:szCs w:val="28"/>
        </w:rPr>
        <w:t>– прогнозируемая сумма поступлений в бюджет города источников финансирования дефицита бюджета в виде продажи акций, которые могут              продаваться на биржевых торгах;</w:t>
      </w:r>
    </w:p>
    <w:p w:rsidR="00B31B16" w:rsidRDefault="000D7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m:oMath>
        <m:f>
          <m:fPr>
            <m:ctrlPr>
              <w:rPr>
                <w:rFonts w:ascii="Cambria Math" w:hAnsi="Times New Roman" w:cs="Times New Roman"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Times New Roman" w:cs="Times New Roman"/>
                    <w:color w:val="333333"/>
                    <w:sz w:val="28"/>
                    <w:szCs w:val="28"/>
                    <w:shd w:val="clear" w:color="auto" w:fill="FFFFFF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333333"/>
                    <w:sz w:val="28"/>
                    <w:szCs w:val="28"/>
                    <w:shd w:val="clear" w:color="auto" w:fill="FFFFFF"/>
                  </w:rPr>
                  <m:t xml:space="preserve">n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333333"/>
                    <w:sz w:val="28"/>
                    <w:szCs w:val="28"/>
                    <w:shd w:val="clear" w:color="auto" w:fill="FFFFFF"/>
                  </w:rPr>
                  <m:t>ц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333333"/>
                    <w:sz w:val="28"/>
                    <w:szCs w:val="28"/>
                    <w:shd w:val="clear" w:color="auto" w:fill="FFFFFF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333333"/>
                    <w:sz w:val="28"/>
                    <w:szCs w:val="28"/>
                    <w:shd w:val="clear" w:color="auto" w:fill="FFFFFF"/>
                  </w:rPr>
                  <m:t>сред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333333"/>
                    <w:sz w:val="28"/>
                    <w:szCs w:val="28"/>
                    <w:shd w:val="clear" w:color="auto" w:fill="FFFFFF"/>
                  </w:rPr>
                  <m:t xml:space="preserve">. </m:t>
                </m:r>
              </m:e>
            </m:nary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333333"/>
                <w:sz w:val="28"/>
                <w:szCs w:val="28"/>
                <w:shd w:val="clear" w:color="auto" w:fill="FFFFFF"/>
              </w:rPr>
              <m:t>n</m:t>
            </m:r>
          </m:den>
        </m:f>
      </m:oMath>
      <w:r w:rsidR="0001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r w:rsidR="0001589B">
        <w:rPr>
          <w:rFonts w:ascii="Times New Roman" w:hAnsi="Times New Roman" w:cs="Times New Roman"/>
          <w:sz w:val="28"/>
          <w:szCs w:val="28"/>
        </w:rPr>
        <w:t>средняя арифметическая цены открытия и закрытия торгов           акциями акционерного общества на Московской Бирже, состоявшихся                  в течение трех месяцев до 01 апреля текущего года, где: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сред. </w:t>
      </w:r>
      <w:r>
        <w:rPr>
          <w:rFonts w:ascii="Times New Roman" w:hAnsi="Times New Roman" w:cs="Times New Roman"/>
          <w:sz w:val="28"/>
          <w:szCs w:val="28"/>
        </w:rPr>
        <w:t>– средневзвешенная цена акции акционерного общества на Московской Бирже;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>пр.ак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количество приватизируемых акций этого общества.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прогнозируемого объема данного вида источников финансирования дефицита бюджета применяется метод прямого расчета.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отчета об оценке оценочной организации о рыночной стоимости акций, плановые показатели по средствам от продажи акций и иных форм участия в капитале, находящихся в собственности городских округов            в составе источников финансирования дефицита бюджета, формируются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корректируются) исходя из рыночной стоимости акций.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для расчета данных показателей предоставляются комитетом           по управлению имуществом в управление бюджетного учёта и отчётности                               в сроки, установленные главным администратором источников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финансиро-вания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дефицита бюджета».</w:t>
      </w:r>
    </w:p>
    <w:p w:rsidR="00B31B16" w:rsidRDefault="00015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информационной политики разместить настоящее распоряжение на официальном портале Администрации города.</w:t>
      </w:r>
    </w:p>
    <w:p w:rsidR="00B31B16" w:rsidRDefault="000158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распоряжения оставляю за собой.</w:t>
      </w:r>
    </w:p>
    <w:p w:rsidR="00B31B16" w:rsidRDefault="00B31B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B16" w:rsidRDefault="00B31B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B16" w:rsidRDefault="0001589B">
      <w:pPr>
        <w:pStyle w:val="4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sectPr w:rsidR="00B31B16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519" w:rsidRDefault="000D7519">
      <w:pPr>
        <w:spacing w:after="0" w:line="240" w:lineRule="auto"/>
      </w:pPr>
      <w:r>
        <w:separator/>
      </w:r>
    </w:p>
  </w:endnote>
  <w:endnote w:type="continuationSeparator" w:id="0">
    <w:p w:rsidR="000D7519" w:rsidRDefault="000D7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519" w:rsidRDefault="000D7519">
      <w:pPr>
        <w:spacing w:after="0" w:line="240" w:lineRule="auto"/>
      </w:pPr>
      <w:r>
        <w:separator/>
      </w:r>
    </w:p>
  </w:footnote>
  <w:footnote w:type="continuationSeparator" w:id="0">
    <w:p w:rsidR="000D7519" w:rsidRDefault="000D7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14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31B16" w:rsidRDefault="0001589B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1EAB">
          <w:rPr>
            <w:rFonts w:ascii="Times New Roman" w:hAnsi="Times New Roman" w:cs="Times New Roman"/>
            <w:noProof/>
            <w:sz w:val="20"/>
            <w:szCs w:val="20"/>
          </w:rPr>
          <w:t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31B16" w:rsidRDefault="00B31B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18C0"/>
    <w:multiLevelType w:val="multilevel"/>
    <w:tmpl w:val="FC62CFCA"/>
    <w:lvl w:ilvl="0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61A24F66"/>
    <w:multiLevelType w:val="multilevel"/>
    <w:tmpl w:val="656414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780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16"/>
    <w:rsid w:val="0001589B"/>
    <w:rsid w:val="000D7519"/>
    <w:rsid w:val="00283E9D"/>
    <w:rsid w:val="004B5E1B"/>
    <w:rsid w:val="00B31B16"/>
    <w:rsid w:val="00EA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E221020-A852-42B3-AF72-F0CA6789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2016-11-14T05:39:00Z</cp:lastPrinted>
  <dcterms:created xsi:type="dcterms:W3CDTF">2016-11-16T08:01:00Z</dcterms:created>
  <dcterms:modified xsi:type="dcterms:W3CDTF">2016-11-16T08:01:00Z</dcterms:modified>
</cp:coreProperties>
</file>