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08" w:rsidRDefault="00A91708" w:rsidP="00656C1A">
      <w:pPr>
        <w:spacing w:line="120" w:lineRule="atLeast"/>
        <w:jc w:val="center"/>
        <w:rPr>
          <w:sz w:val="24"/>
          <w:szCs w:val="24"/>
        </w:rPr>
      </w:pPr>
    </w:p>
    <w:p w:rsidR="00A91708" w:rsidRDefault="00A91708" w:rsidP="00656C1A">
      <w:pPr>
        <w:spacing w:line="120" w:lineRule="atLeast"/>
        <w:jc w:val="center"/>
        <w:rPr>
          <w:sz w:val="24"/>
          <w:szCs w:val="24"/>
        </w:rPr>
      </w:pPr>
    </w:p>
    <w:p w:rsidR="00A91708" w:rsidRPr="00852378" w:rsidRDefault="00A91708" w:rsidP="00656C1A">
      <w:pPr>
        <w:spacing w:line="120" w:lineRule="atLeast"/>
        <w:jc w:val="center"/>
        <w:rPr>
          <w:sz w:val="10"/>
          <w:szCs w:val="10"/>
        </w:rPr>
      </w:pPr>
    </w:p>
    <w:p w:rsidR="00A91708" w:rsidRDefault="00A91708" w:rsidP="00656C1A">
      <w:pPr>
        <w:spacing w:line="120" w:lineRule="atLeast"/>
        <w:jc w:val="center"/>
        <w:rPr>
          <w:sz w:val="10"/>
          <w:szCs w:val="24"/>
        </w:rPr>
      </w:pPr>
    </w:p>
    <w:p w:rsidR="00A91708" w:rsidRPr="005541F0" w:rsidRDefault="00A917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1708" w:rsidRPr="005541F0" w:rsidRDefault="00A917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1708" w:rsidRPr="005649E4" w:rsidRDefault="00A91708" w:rsidP="00656C1A">
      <w:pPr>
        <w:spacing w:line="120" w:lineRule="atLeast"/>
        <w:jc w:val="center"/>
        <w:rPr>
          <w:sz w:val="18"/>
          <w:szCs w:val="24"/>
        </w:rPr>
      </w:pPr>
    </w:p>
    <w:p w:rsidR="00A91708" w:rsidRPr="00656C1A" w:rsidRDefault="00A917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1708" w:rsidRPr="005541F0" w:rsidRDefault="00A91708" w:rsidP="00656C1A">
      <w:pPr>
        <w:spacing w:line="120" w:lineRule="atLeast"/>
        <w:jc w:val="center"/>
        <w:rPr>
          <w:sz w:val="18"/>
          <w:szCs w:val="24"/>
        </w:rPr>
      </w:pPr>
    </w:p>
    <w:p w:rsidR="00A91708" w:rsidRPr="005541F0" w:rsidRDefault="00A91708" w:rsidP="00656C1A">
      <w:pPr>
        <w:spacing w:line="120" w:lineRule="atLeast"/>
        <w:jc w:val="center"/>
        <w:rPr>
          <w:sz w:val="20"/>
          <w:szCs w:val="24"/>
        </w:rPr>
      </w:pPr>
    </w:p>
    <w:p w:rsidR="00A91708" w:rsidRPr="00656C1A" w:rsidRDefault="00A917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1708" w:rsidRDefault="00A91708" w:rsidP="00656C1A">
      <w:pPr>
        <w:spacing w:line="120" w:lineRule="atLeast"/>
        <w:jc w:val="center"/>
        <w:rPr>
          <w:sz w:val="30"/>
          <w:szCs w:val="24"/>
        </w:rPr>
      </w:pPr>
    </w:p>
    <w:p w:rsidR="00A91708" w:rsidRPr="00656C1A" w:rsidRDefault="00A917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17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1708" w:rsidRPr="00F8214F" w:rsidRDefault="00A917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1708" w:rsidRPr="00F8214F" w:rsidRDefault="005948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1708" w:rsidRPr="00F8214F" w:rsidRDefault="00A917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1708" w:rsidRPr="00F8214F" w:rsidRDefault="005948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1708" w:rsidRPr="00A63FB0" w:rsidRDefault="00A917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1708" w:rsidRPr="00A3761A" w:rsidRDefault="005948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1708" w:rsidRPr="00F8214F" w:rsidRDefault="00A917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1708" w:rsidRPr="00F8214F" w:rsidRDefault="00A917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1708" w:rsidRPr="00AB4194" w:rsidRDefault="00A917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1708" w:rsidRPr="00F8214F" w:rsidRDefault="005948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9262</w:t>
            </w:r>
          </w:p>
        </w:tc>
      </w:tr>
    </w:tbl>
    <w:p w:rsidR="00A91708" w:rsidRPr="00C725A6" w:rsidRDefault="00A91708" w:rsidP="00C725A6">
      <w:pPr>
        <w:rPr>
          <w:rFonts w:cs="Times New Roman"/>
          <w:szCs w:val="28"/>
        </w:rPr>
      </w:pP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>О</w:t>
      </w:r>
      <w:r>
        <w:rPr>
          <w:rFonts w:eastAsiaTheme="minorEastAsia" w:cs="Times New Roman"/>
          <w:szCs w:val="28"/>
          <w:lang w:eastAsia="ru-RU"/>
        </w:rPr>
        <w:t>б установлении</w:t>
      </w:r>
      <w:r w:rsidRPr="00C42A7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размеров 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снижения платы граждан 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за коммунальные услуги в целях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соблюдения предельных 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(максимальных) индексов изменения 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размера вносимой гражданами платы </w:t>
      </w:r>
    </w:p>
    <w:p w:rsidR="00A91708" w:rsidRPr="00C42A7A" w:rsidRDefault="00A91708" w:rsidP="00A9170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за коммунальные услуги</w:t>
      </w:r>
    </w:p>
    <w:p w:rsidR="00A91708" w:rsidRDefault="00A91708" w:rsidP="00A91708">
      <w:pPr>
        <w:rPr>
          <w:rFonts w:eastAsiaTheme="minorEastAsia" w:cs="Times New Roman"/>
          <w:szCs w:val="28"/>
          <w:lang w:eastAsia="ru-RU"/>
        </w:rPr>
      </w:pPr>
    </w:p>
    <w:p w:rsidR="00A91708" w:rsidRPr="00C42A7A" w:rsidRDefault="00A91708" w:rsidP="00A91708">
      <w:pPr>
        <w:rPr>
          <w:rFonts w:eastAsiaTheme="minorEastAsia" w:cs="Times New Roman"/>
          <w:szCs w:val="28"/>
          <w:lang w:eastAsia="ru-RU"/>
        </w:rPr>
      </w:pPr>
    </w:p>
    <w:p w:rsidR="00A91708" w:rsidRDefault="00A91708" w:rsidP="00A91708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A7756">
        <w:rPr>
          <w:rFonts w:eastAsiaTheme="minorEastAsia" w:cs="Times New Roman"/>
          <w:szCs w:val="28"/>
          <w:lang w:eastAsia="ru-RU"/>
        </w:rPr>
        <w:t>В соответствии с</w:t>
      </w:r>
      <w:r>
        <w:rPr>
          <w:rFonts w:eastAsiaTheme="minorEastAsia" w:cs="Times New Roman"/>
          <w:szCs w:val="28"/>
          <w:lang w:eastAsia="ru-RU"/>
        </w:rPr>
        <w:t>о ст.157.1</w:t>
      </w:r>
      <w:r w:rsidRPr="005A7756">
        <w:rPr>
          <w:rFonts w:eastAsiaTheme="minorEastAsia" w:cs="Times New Roman"/>
          <w:szCs w:val="28"/>
          <w:lang w:eastAsia="ru-RU"/>
        </w:rPr>
        <w:t xml:space="preserve"> Жилищн</w:t>
      </w:r>
      <w:r>
        <w:rPr>
          <w:rFonts w:eastAsiaTheme="minorEastAsia" w:cs="Times New Roman"/>
          <w:szCs w:val="28"/>
          <w:lang w:eastAsia="ru-RU"/>
        </w:rPr>
        <w:t>ого кодекса Российской Федерации</w:t>
      </w:r>
      <w:r w:rsidR="0004502F">
        <w:rPr>
          <w:rFonts w:eastAsiaTheme="minorEastAsia" w:cs="Times New Roman"/>
          <w:szCs w:val="28"/>
          <w:lang w:eastAsia="ru-RU"/>
        </w:rPr>
        <w:t>,</w:t>
      </w:r>
      <w:r>
        <w:rPr>
          <w:rFonts w:eastAsiaTheme="minorEastAsia" w:cs="Times New Roman"/>
          <w:szCs w:val="28"/>
          <w:lang w:eastAsia="ru-RU"/>
        </w:rPr>
        <w:t xml:space="preserve">                   в целях соблюдения предельных (максимальных) индексов изменения размера вносимой гражданами платы за коммунальные услуги</w:t>
      </w:r>
      <w:r w:rsidRPr="009D2558">
        <w:rPr>
          <w:rFonts w:eastAsiaTheme="minorEastAsia" w:cs="Times New Roman"/>
          <w:szCs w:val="28"/>
          <w:lang w:eastAsia="ru-RU"/>
        </w:rPr>
        <w:t>:</w:t>
      </w:r>
    </w:p>
    <w:p w:rsidR="00A91708" w:rsidRDefault="00A91708" w:rsidP="00A91708">
      <w:pPr>
        <w:ind w:firstLine="709"/>
        <w:jc w:val="both"/>
        <w:rPr>
          <w:rFonts w:cs="Times New Roman"/>
        </w:rPr>
      </w:pPr>
      <w:r>
        <w:rPr>
          <w:rFonts w:eastAsiaTheme="minorEastAsia" w:cs="Times New Roman"/>
          <w:szCs w:val="28"/>
          <w:lang w:eastAsia="ru-RU"/>
        </w:rPr>
        <w:t xml:space="preserve">1. </w:t>
      </w:r>
      <w:bookmarkStart w:id="5" w:name="sub_2"/>
      <w:r>
        <w:rPr>
          <w:rFonts w:eastAsia="Times New Roman" w:cs="Times New Roman"/>
          <w:szCs w:val="28"/>
          <w:lang w:eastAsia="ru-RU"/>
        </w:rPr>
        <w:t xml:space="preserve">Установить с 01.01.2019 </w:t>
      </w:r>
      <w:r w:rsidRPr="00277DDA">
        <w:rPr>
          <w:rFonts w:cs="Times New Roman"/>
        </w:rPr>
        <w:t>за счет средств местного бюджета размер</w:t>
      </w:r>
      <w:r>
        <w:rPr>
          <w:rFonts w:cs="Times New Roman"/>
        </w:rPr>
        <w:t>ы</w:t>
      </w:r>
      <w:r w:rsidRPr="00277DDA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Pr="00277DDA">
        <w:rPr>
          <w:rFonts w:cs="Times New Roman"/>
        </w:rPr>
        <w:t>снижения платы</w:t>
      </w:r>
      <w:r>
        <w:rPr>
          <w:rFonts w:cs="Times New Roman"/>
        </w:rPr>
        <w:t xml:space="preserve"> граждан за следующие коммунальные услуги:</w:t>
      </w:r>
    </w:p>
    <w:p w:rsidR="0004502F" w:rsidRDefault="00A91708" w:rsidP="00A91708">
      <w:pPr>
        <w:ind w:firstLine="709"/>
        <w:jc w:val="both"/>
        <w:rPr>
          <w:rFonts w:cs="Times New Roman"/>
        </w:rPr>
      </w:pPr>
      <w:r>
        <w:rPr>
          <w:rFonts w:cs="Times New Roman"/>
        </w:rPr>
        <w:t>1.1. За услугу отопления согласно приложениям 1</w:t>
      </w:r>
      <w:r w:rsidR="0004502F">
        <w:rPr>
          <w:rFonts w:cs="Times New Roman"/>
        </w:rPr>
        <w:t>, 2.</w:t>
      </w:r>
    </w:p>
    <w:p w:rsidR="00A91708" w:rsidRPr="00C84B18" w:rsidRDefault="00A91708" w:rsidP="00A917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</w:rPr>
        <w:t>1.2. За услугу холодного водоснабжения согласно приложениям 3, 4.</w:t>
      </w:r>
    </w:p>
    <w:p w:rsidR="00A91708" w:rsidRPr="00A91708" w:rsidRDefault="00A91708" w:rsidP="00A91708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91708">
        <w:rPr>
          <w:rFonts w:cs="Times New Roman"/>
          <w:spacing w:val="-4"/>
        </w:rPr>
        <w:t xml:space="preserve">1.3. За услугу подвоза воды в жилые помещения без централизованного </w:t>
      </w:r>
      <w:r>
        <w:rPr>
          <w:rFonts w:cs="Times New Roman"/>
          <w:spacing w:val="-4"/>
        </w:rPr>
        <w:t xml:space="preserve">                 </w:t>
      </w:r>
      <w:r w:rsidRPr="00A91708">
        <w:rPr>
          <w:rFonts w:cs="Times New Roman"/>
          <w:spacing w:val="-4"/>
        </w:rPr>
        <w:t>холодного водоснабжения согласно приложению 5.</w:t>
      </w:r>
    </w:p>
    <w:p w:rsidR="00A91708" w:rsidRPr="006C0272" w:rsidRDefault="00A91708" w:rsidP="00A9170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2. </w:t>
      </w:r>
      <w:r w:rsidRPr="006C0272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6C0272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A91708" w:rsidRPr="006C0272" w:rsidRDefault="00A91708" w:rsidP="00A9170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A91708" w:rsidRPr="00C42A7A" w:rsidRDefault="00A91708" w:rsidP="00A9170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C42A7A">
        <w:rPr>
          <w:rFonts w:cs="Times New Roman"/>
          <w:szCs w:val="28"/>
        </w:rPr>
        <w:t xml:space="preserve">. </w:t>
      </w:r>
      <w:r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 Н.Н.</w:t>
      </w:r>
    </w:p>
    <w:p w:rsidR="00A91708" w:rsidRDefault="00A91708" w:rsidP="00A91708">
      <w:pPr>
        <w:jc w:val="both"/>
        <w:rPr>
          <w:rFonts w:cs="Times New Roman"/>
          <w:szCs w:val="28"/>
        </w:rPr>
      </w:pPr>
    </w:p>
    <w:p w:rsidR="00A91708" w:rsidRDefault="00A91708" w:rsidP="00A91708">
      <w:pPr>
        <w:jc w:val="both"/>
        <w:rPr>
          <w:rFonts w:cs="Times New Roman"/>
          <w:szCs w:val="28"/>
        </w:rPr>
      </w:pPr>
    </w:p>
    <w:p w:rsidR="00A91708" w:rsidRDefault="00A91708" w:rsidP="00A91708">
      <w:pPr>
        <w:jc w:val="both"/>
        <w:rPr>
          <w:rFonts w:cs="Times New Roman"/>
          <w:szCs w:val="28"/>
        </w:rPr>
      </w:pPr>
    </w:p>
    <w:p w:rsidR="00A91708" w:rsidRDefault="00A91708" w:rsidP="00A91708">
      <w:pPr>
        <w:jc w:val="both"/>
        <w:rPr>
          <w:rFonts w:eastAsiaTheme="minorEastAsia" w:cs="Times New Roman"/>
          <w:sz w:val="20"/>
          <w:szCs w:val="20"/>
          <w:lang w:eastAsia="ru-RU"/>
        </w:rPr>
      </w:pPr>
      <w:r w:rsidRPr="00C42A7A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     </w:t>
      </w:r>
      <w:r w:rsidRPr="00C42A7A">
        <w:rPr>
          <w:rFonts w:cs="Times New Roman"/>
          <w:szCs w:val="28"/>
        </w:rPr>
        <w:t>В.Н. Шувалов</w:t>
      </w:r>
      <w:bookmarkEnd w:id="5"/>
    </w:p>
    <w:p w:rsidR="00A91708" w:rsidRDefault="00A91708" w:rsidP="00A91708">
      <w:pPr>
        <w:sectPr w:rsidR="00A91708" w:rsidSect="00A9170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91708" w:rsidRPr="00A91708" w:rsidRDefault="00A91708" w:rsidP="00A91708">
      <w:pPr>
        <w:tabs>
          <w:tab w:val="left" w:pos="10773"/>
        </w:tabs>
        <w:ind w:left="10773"/>
        <w:rPr>
          <w:rFonts w:cs="Times New Roman"/>
          <w:sz w:val="27"/>
          <w:szCs w:val="27"/>
        </w:rPr>
      </w:pPr>
      <w:r w:rsidRPr="00A91708">
        <w:rPr>
          <w:rFonts w:cs="Times New Roman"/>
          <w:sz w:val="27"/>
          <w:szCs w:val="27"/>
        </w:rPr>
        <w:lastRenderedPageBreak/>
        <w:t>Приложение 1</w:t>
      </w:r>
    </w:p>
    <w:p w:rsidR="00A91708" w:rsidRPr="00A91708" w:rsidRDefault="00A91708" w:rsidP="00A91708">
      <w:pPr>
        <w:tabs>
          <w:tab w:val="left" w:pos="10773"/>
        </w:tabs>
        <w:ind w:left="10773"/>
        <w:rPr>
          <w:rFonts w:cs="Times New Roman"/>
          <w:sz w:val="27"/>
          <w:szCs w:val="27"/>
        </w:rPr>
      </w:pPr>
      <w:r w:rsidRPr="00A91708">
        <w:rPr>
          <w:rFonts w:cs="Times New Roman"/>
          <w:sz w:val="27"/>
          <w:szCs w:val="27"/>
        </w:rPr>
        <w:t>к постановлению</w:t>
      </w:r>
    </w:p>
    <w:p w:rsidR="00A91708" w:rsidRPr="00A91708" w:rsidRDefault="00A91708" w:rsidP="00A91708">
      <w:pPr>
        <w:tabs>
          <w:tab w:val="left" w:pos="10773"/>
        </w:tabs>
        <w:ind w:left="10773"/>
        <w:rPr>
          <w:rFonts w:cs="Times New Roman"/>
          <w:sz w:val="27"/>
          <w:szCs w:val="27"/>
        </w:rPr>
      </w:pPr>
      <w:r w:rsidRPr="00A91708">
        <w:rPr>
          <w:rFonts w:cs="Times New Roman"/>
          <w:sz w:val="27"/>
          <w:szCs w:val="27"/>
        </w:rPr>
        <w:t>Администрации города</w:t>
      </w:r>
    </w:p>
    <w:p w:rsidR="00A91708" w:rsidRPr="00A91708" w:rsidRDefault="00A91708" w:rsidP="00A91708">
      <w:pPr>
        <w:tabs>
          <w:tab w:val="left" w:pos="10773"/>
        </w:tabs>
        <w:ind w:left="10773"/>
        <w:rPr>
          <w:rFonts w:cs="Times New Roman"/>
          <w:sz w:val="27"/>
          <w:szCs w:val="27"/>
        </w:rPr>
      </w:pPr>
      <w:r w:rsidRPr="00A91708">
        <w:rPr>
          <w:rFonts w:cs="Times New Roman"/>
          <w:sz w:val="27"/>
          <w:szCs w:val="27"/>
        </w:rPr>
        <w:t>от ____________ № ________</w:t>
      </w:r>
    </w:p>
    <w:p w:rsidR="00A91708" w:rsidRPr="00A91708" w:rsidRDefault="00A91708" w:rsidP="00A91708">
      <w:pPr>
        <w:ind w:left="11907"/>
        <w:rPr>
          <w:rFonts w:cs="Times New Roman"/>
          <w:sz w:val="22"/>
        </w:rPr>
      </w:pPr>
    </w:p>
    <w:p w:rsidR="00A91708" w:rsidRPr="00A91708" w:rsidRDefault="00A91708" w:rsidP="00A91708">
      <w:pPr>
        <w:ind w:left="11907"/>
        <w:rPr>
          <w:rFonts w:cs="Times New Roman"/>
          <w:sz w:val="22"/>
        </w:rPr>
      </w:pPr>
    </w:p>
    <w:p w:rsidR="00A91708" w:rsidRPr="00A91708" w:rsidRDefault="00A91708" w:rsidP="00A91708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A91708">
        <w:rPr>
          <w:rFonts w:eastAsiaTheme="minorEastAsia" w:cs="Times New Roman"/>
          <w:sz w:val="27"/>
          <w:szCs w:val="27"/>
          <w:lang w:eastAsia="ru-RU"/>
        </w:rPr>
        <w:t xml:space="preserve">Размеры снижения платы граждан за услугу отопления в целях соблюдения предельных (максимальных) индексов </w:t>
      </w:r>
    </w:p>
    <w:p w:rsidR="00A91708" w:rsidRDefault="00A91708" w:rsidP="00A91708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A91708">
        <w:rPr>
          <w:rFonts w:eastAsiaTheme="minorEastAsia" w:cs="Times New Roman"/>
          <w:sz w:val="27"/>
          <w:szCs w:val="27"/>
          <w:lang w:eastAsia="ru-RU"/>
        </w:rPr>
        <w:t>изменения размера вносимой гражданами платы за коммунальные услуги</w:t>
      </w:r>
      <w:r w:rsidRPr="00A91708">
        <w:rPr>
          <w:rFonts w:cs="Times New Roman"/>
          <w:sz w:val="27"/>
          <w:szCs w:val="27"/>
        </w:rPr>
        <w:t xml:space="preserve"> </w:t>
      </w:r>
      <w:r w:rsidRPr="00A91708">
        <w:rPr>
          <w:rFonts w:eastAsiaTheme="minorEastAsia" w:cs="Times New Roman"/>
          <w:sz w:val="27"/>
          <w:szCs w:val="27"/>
          <w:lang w:eastAsia="ru-RU"/>
        </w:rPr>
        <w:t xml:space="preserve">в зоне действия единой теплоснабжающей </w:t>
      </w:r>
    </w:p>
    <w:p w:rsidR="00A91708" w:rsidRPr="00A91708" w:rsidRDefault="00A91708" w:rsidP="00A91708">
      <w:pPr>
        <w:jc w:val="center"/>
        <w:rPr>
          <w:rFonts w:cs="Times New Roman"/>
          <w:sz w:val="27"/>
          <w:szCs w:val="27"/>
        </w:rPr>
      </w:pPr>
      <w:r w:rsidRPr="00A91708">
        <w:rPr>
          <w:rFonts w:eastAsiaTheme="minorEastAsia" w:cs="Times New Roman"/>
          <w:sz w:val="27"/>
          <w:szCs w:val="27"/>
          <w:lang w:eastAsia="ru-RU"/>
        </w:rPr>
        <w:t>организации Сургутское городское муниципальное унитарное предприятие «Тепловик»</w:t>
      </w:r>
    </w:p>
    <w:p w:rsidR="00A91708" w:rsidRPr="00A91708" w:rsidRDefault="00A91708" w:rsidP="00A91708">
      <w:pPr>
        <w:jc w:val="center"/>
        <w:rPr>
          <w:rFonts w:cs="Times New Roman"/>
          <w:sz w:val="22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276"/>
        <w:gridCol w:w="1418"/>
        <w:gridCol w:w="1275"/>
        <w:gridCol w:w="1276"/>
        <w:gridCol w:w="1134"/>
        <w:gridCol w:w="1559"/>
        <w:gridCol w:w="1276"/>
      </w:tblGrid>
      <w:tr w:rsidR="00A91708" w:rsidRPr="00A91708" w:rsidTr="00A91708">
        <w:trPr>
          <w:trHeight w:val="410"/>
        </w:trPr>
        <w:tc>
          <w:tcPr>
            <w:tcW w:w="3397" w:type="dxa"/>
            <w:vMerge w:val="restart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Вид благоустройства</w:t>
            </w:r>
          </w:p>
        </w:tc>
        <w:tc>
          <w:tcPr>
            <w:tcW w:w="2268" w:type="dxa"/>
            <w:vMerge w:val="restart"/>
          </w:tcPr>
          <w:p w:rsidR="00A91708" w:rsidRPr="00A91708" w:rsidRDefault="00A91708" w:rsidP="00A91708">
            <w:pPr>
              <w:ind w:firstLine="34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Норматив </w:t>
            </w:r>
          </w:p>
          <w:p w:rsid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потребления, Гкал 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на 1 кв. метр </w:t>
            </w:r>
          </w:p>
          <w:p w:rsid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общей площади </w:t>
            </w:r>
          </w:p>
          <w:p w:rsid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жилого помещения 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в месяц</w:t>
            </w:r>
          </w:p>
        </w:tc>
        <w:tc>
          <w:tcPr>
            <w:tcW w:w="9214" w:type="dxa"/>
            <w:gridSpan w:val="7"/>
          </w:tcPr>
          <w:p w:rsidR="00A91708" w:rsidRPr="00A91708" w:rsidRDefault="00A91708" w:rsidP="00A91708">
            <w:pPr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Размер снижения платы (в процентах)</w:t>
            </w:r>
          </w:p>
        </w:tc>
      </w:tr>
      <w:tr w:rsidR="00A91708" w:rsidRPr="00A91708" w:rsidTr="00A91708">
        <w:tc>
          <w:tcPr>
            <w:tcW w:w="3397" w:type="dxa"/>
            <w:vMerge/>
          </w:tcPr>
          <w:p w:rsidR="00A91708" w:rsidRPr="00A91708" w:rsidRDefault="00A91708" w:rsidP="00A91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91708" w:rsidRPr="00A91708" w:rsidRDefault="00A91708" w:rsidP="00A91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hanging="108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hanging="108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Таёжный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Медвежий Угол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Лунный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Юность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МО-94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Кедровый-1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поселок</w:t>
            </w:r>
          </w:p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Лесной</w:t>
            </w:r>
          </w:p>
        </w:tc>
      </w:tr>
      <w:tr w:rsidR="00A91708" w:rsidRPr="00A91708" w:rsidTr="00A91708"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1. Многоквартирные и жилые дома с закрытой системой отопления: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91708" w:rsidRPr="00A91708" w:rsidTr="00A91708">
        <w:tc>
          <w:tcPr>
            <w:tcW w:w="3397" w:type="dxa"/>
          </w:tcPr>
          <w:p w:rsid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1.1. из панельных, блочных, </w:t>
            </w:r>
          </w:p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монолитных конструкций 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0,0227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  <w:tr w:rsidR="00A91708" w:rsidRPr="00A91708" w:rsidTr="00A91708">
        <w:trPr>
          <w:trHeight w:val="286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1.2. из кирпича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0,0191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  <w:tr w:rsidR="00A91708" w:rsidRPr="00A91708" w:rsidTr="00A91708">
        <w:trPr>
          <w:trHeight w:val="286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 xml:space="preserve">1.3. из деревянных </w:t>
            </w:r>
          </w:p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конструкций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0,0221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76</w:t>
            </w:r>
          </w:p>
        </w:tc>
      </w:tr>
      <w:tr w:rsidR="00A91708" w:rsidRPr="00A91708" w:rsidTr="00A91708"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 Многоквартирные и жилые дома с открытой системой отопления (с отбором ГВС</w:t>
            </w:r>
            <w:r>
              <w:rPr>
                <w:sz w:val="22"/>
                <w:szCs w:val="22"/>
              </w:rPr>
              <w:t xml:space="preserve"> </w:t>
            </w:r>
            <w:r w:rsidRPr="00A91708">
              <w:rPr>
                <w:sz w:val="22"/>
                <w:szCs w:val="22"/>
              </w:rPr>
              <w:t>из систем отопления):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91708" w:rsidRPr="00A91708" w:rsidTr="00A91708">
        <w:trPr>
          <w:trHeight w:val="289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2.1. капитальные 1-этажные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0,0454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  <w:tr w:rsidR="00A91708" w:rsidRPr="00A91708" w:rsidTr="00A91708">
        <w:trPr>
          <w:trHeight w:val="289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2.2. капитальные 2-этажные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0,0421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  <w:tr w:rsidR="00A91708" w:rsidRPr="00A91708" w:rsidTr="00A91708">
        <w:trPr>
          <w:trHeight w:val="289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2.3. капитальные 5-9-этажные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0,0254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  <w:tr w:rsidR="00A91708" w:rsidRPr="00A91708" w:rsidTr="00A91708">
        <w:trPr>
          <w:trHeight w:val="289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2.4. деревянные 1-этажные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0,0595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61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89</w:t>
            </w:r>
          </w:p>
        </w:tc>
      </w:tr>
      <w:tr w:rsidR="00A91708" w:rsidRPr="00A91708" w:rsidTr="00A91708">
        <w:trPr>
          <w:trHeight w:val="289"/>
        </w:trPr>
        <w:tc>
          <w:tcPr>
            <w:tcW w:w="3397" w:type="dxa"/>
          </w:tcPr>
          <w:p w:rsidR="00A91708" w:rsidRPr="00A91708" w:rsidRDefault="00A91708" w:rsidP="00A91708">
            <w:pPr>
              <w:ind w:firstLine="0"/>
              <w:jc w:val="left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2.5. деревянные 2-этажные</w:t>
            </w:r>
          </w:p>
        </w:tc>
        <w:tc>
          <w:tcPr>
            <w:tcW w:w="226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0,0553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A91708" w:rsidRPr="00A91708" w:rsidRDefault="00A91708" w:rsidP="00A91708">
            <w:pPr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A91708" w:rsidRPr="00A91708" w:rsidRDefault="00A91708" w:rsidP="00A91708">
            <w:pPr>
              <w:ind w:firstLine="0"/>
              <w:jc w:val="center"/>
              <w:rPr>
                <w:sz w:val="22"/>
                <w:szCs w:val="22"/>
              </w:rPr>
            </w:pPr>
            <w:r w:rsidRPr="00A91708">
              <w:rPr>
                <w:sz w:val="22"/>
                <w:szCs w:val="22"/>
              </w:rPr>
              <w:t>–</w:t>
            </w:r>
          </w:p>
        </w:tc>
      </w:tr>
    </w:tbl>
    <w:p w:rsidR="00226A5C" w:rsidRDefault="00226A5C" w:rsidP="00A91708"/>
    <w:p w:rsidR="00A91708" w:rsidRDefault="00A91708" w:rsidP="00A91708">
      <w:pPr>
        <w:sectPr w:rsidR="00A91708" w:rsidSect="00A91708">
          <w:pgSz w:w="16838" w:h="11906" w:orient="landscape"/>
          <w:pgMar w:top="1701" w:right="1134" w:bottom="426" w:left="1134" w:header="709" w:footer="709" w:gutter="0"/>
          <w:cols w:space="708"/>
          <w:titlePg/>
          <w:docGrid w:linePitch="381"/>
        </w:sectPr>
      </w:pP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lastRenderedPageBreak/>
        <w:t>Приложение 2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к постановлению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Администрации города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от ____________ № ________</w:t>
      </w:r>
    </w:p>
    <w:p w:rsidR="00A91708" w:rsidRPr="00A91708" w:rsidRDefault="00A91708" w:rsidP="00A91708">
      <w:pPr>
        <w:ind w:left="5954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Размеры снижения платы граждан за услугу отопления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в целях соблюдения предельных (максимальных) индексов изменения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размера вносимой гражданами платы за коммунальные услуги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в зоне действия единой теплоснабжающей организации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Сургутское городское муниципальное унитарное предприятие 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>«Городские тепловые сети»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693"/>
      </w:tblGrid>
      <w:tr w:rsidR="00A91708" w:rsidRPr="00A91708" w:rsidTr="00764128">
        <w:trPr>
          <w:trHeight w:val="410"/>
        </w:trPr>
        <w:tc>
          <w:tcPr>
            <w:tcW w:w="4106" w:type="dxa"/>
            <w:vMerge w:val="restart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Вид благоустройства</w:t>
            </w:r>
          </w:p>
        </w:tc>
        <w:tc>
          <w:tcPr>
            <w:tcW w:w="2552" w:type="dxa"/>
            <w:vMerge w:val="restart"/>
          </w:tcPr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Норматив </w:t>
            </w:r>
          </w:p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потребления, </w:t>
            </w:r>
          </w:p>
          <w:p w:rsid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Гкал на 1 кв. метр </w:t>
            </w:r>
          </w:p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общей площади </w:t>
            </w:r>
          </w:p>
          <w:p w:rsid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жилого помещения </w:t>
            </w:r>
          </w:p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в месяц</w:t>
            </w: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Размер 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снижения платы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(в процентах)</w:t>
            </w:r>
          </w:p>
        </w:tc>
      </w:tr>
      <w:tr w:rsidR="00A91708" w:rsidRPr="00A91708" w:rsidTr="00764128">
        <w:tc>
          <w:tcPr>
            <w:tcW w:w="4106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микрорайоны 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(поселки) города</w:t>
            </w:r>
          </w:p>
        </w:tc>
      </w:tr>
      <w:tr w:rsidR="00A91708" w:rsidRPr="00A91708" w:rsidTr="00764128">
        <w:tc>
          <w:tcPr>
            <w:tcW w:w="4106" w:type="dxa"/>
          </w:tcPr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1. Многоквартирные и жилые дома с открытой системой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отопления (с отбором ГВС </w:t>
            </w:r>
          </w:p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из систем отопления):</w:t>
            </w:r>
          </w:p>
        </w:tc>
        <w:tc>
          <w:tcPr>
            <w:tcW w:w="2552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</w:tr>
      <w:tr w:rsidR="00A91708" w:rsidRPr="00A91708" w:rsidTr="00764128">
        <w:trPr>
          <w:trHeight w:val="289"/>
        </w:trPr>
        <w:tc>
          <w:tcPr>
            <w:tcW w:w="4106" w:type="dxa"/>
            <w:vAlign w:val="center"/>
          </w:tcPr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1.1. капитальные 2-этажные</w:t>
            </w:r>
          </w:p>
        </w:tc>
        <w:tc>
          <w:tcPr>
            <w:tcW w:w="2552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0,0421</w:t>
            </w: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2</w:t>
            </w:r>
          </w:p>
        </w:tc>
      </w:tr>
      <w:tr w:rsidR="00A91708" w:rsidRPr="00A91708" w:rsidTr="00764128">
        <w:trPr>
          <w:trHeight w:val="289"/>
        </w:trPr>
        <w:tc>
          <w:tcPr>
            <w:tcW w:w="4106" w:type="dxa"/>
            <w:vAlign w:val="center"/>
          </w:tcPr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1.2. деревянные 1-этажные</w:t>
            </w:r>
          </w:p>
        </w:tc>
        <w:tc>
          <w:tcPr>
            <w:tcW w:w="2552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0,0595</w:t>
            </w: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29</w:t>
            </w:r>
          </w:p>
        </w:tc>
      </w:tr>
      <w:tr w:rsidR="00A91708" w:rsidRPr="00A91708" w:rsidTr="00764128">
        <w:trPr>
          <w:trHeight w:val="289"/>
        </w:trPr>
        <w:tc>
          <w:tcPr>
            <w:tcW w:w="4106" w:type="dxa"/>
            <w:vAlign w:val="center"/>
          </w:tcPr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1.3. деревянные 2-этажные</w:t>
            </w:r>
          </w:p>
        </w:tc>
        <w:tc>
          <w:tcPr>
            <w:tcW w:w="2552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0,0553</w:t>
            </w:r>
          </w:p>
        </w:tc>
        <w:tc>
          <w:tcPr>
            <w:tcW w:w="2693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22</w:t>
            </w:r>
          </w:p>
        </w:tc>
      </w:tr>
    </w:tbl>
    <w:p w:rsidR="00A91708" w:rsidRDefault="00A91708" w:rsidP="00A91708">
      <w:pPr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lastRenderedPageBreak/>
        <w:t>Приложение 3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к постановлению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Администрации города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от ____________ № _______</w:t>
      </w:r>
      <w:r>
        <w:rPr>
          <w:sz w:val="27"/>
          <w:szCs w:val="27"/>
        </w:rPr>
        <w:t>_</w:t>
      </w:r>
    </w:p>
    <w:p w:rsidR="00A91708" w:rsidRPr="00A91708" w:rsidRDefault="00A91708" w:rsidP="00A91708">
      <w:pPr>
        <w:ind w:left="5954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Размеры снижения платы граждан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за услугу холодного водоснабжения в целях соблюдения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предельных (максимальных) индексов изменения размера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вносимой гражданами платы за коммунальные услуги в зоне деятельности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гарантирующей организации Сургутское городское муниципальное 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>унитарное предприятие «Тепловик»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2410"/>
      </w:tblGrid>
      <w:tr w:rsidR="00A91708" w:rsidRPr="00A91708" w:rsidTr="00764128">
        <w:tc>
          <w:tcPr>
            <w:tcW w:w="5240" w:type="dxa"/>
            <w:vMerge w:val="restart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Вид благоустройства</w:t>
            </w:r>
          </w:p>
        </w:tc>
        <w:tc>
          <w:tcPr>
            <w:tcW w:w="1701" w:type="dxa"/>
            <w:vMerge w:val="restart"/>
          </w:tcPr>
          <w:p w:rsid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Норматив потребления, куб.</w:t>
            </w:r>
            <w:r>
              <w:rPr>
                <w:sz w:val="26"/>
                <w:szCs w:val="26"/>
              </w:rPr>
              <w:t xml:space="preserve"> </w:t>
            </w:r>
            <w:r w:rsidRPr="00A917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етр</w:t>
            </w:r>
          </w:p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на 1 человека в месяц</w:t>
            </w:r>
          </w:p>
        </w:tc>
        <w:tc>
          <w:tcPr>
            <w:tcW w:w="2410" w:type="dxa"/>
          </w:tcPr>
          <w:p w:rsid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Размер 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снижения платы                              (в процентах)</w:t>
            </w:r>
          </w:p>
        </w:tc>
      </w:tr>
      <w:tr w:rsidR="00A91708" w:rsidRPr="00A91708" w:rsidTr="00764128">
        <w:tc>
          <w:tcPr>
            <w:tcW w:w="5240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поселок Лесной</w:t>
            </w:r>
          </w:p>
        </w:tc>
      </w:tr>
      <w:tr w:rsidR="00A91708" w:rsidRPr="00A91708" w:rsidTr="00764128">
        <w:tc>
          <w:tcPr>
            <w:tcW w:w="5240" w:type="dxa"/>
          </w:tcPr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1. Одноэтажные деревянные дома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до 1999 года постройки включительно </w:t>
            </w:r>
          </w:p>
          <w:p w:rsidR="00A91708" w:rsidRPr="00A91708" w:rsidRDefault="00A91708" w:rsidP="00A9170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с ваннами и душевыми, не оборудованные различными водонагревательными устройствами</w:t>
            </w:r>
          </w:p>
        </w:tc>
        <w:tc>
          <w:tcPr>
            <w:tcW w:w="1701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5,323</w:t>
            </w:r>
          </w:p>
        </w:tc>
        <w:tc>
          <w:tcPr>
            <w:tcW w:w="2410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68</w:t>
            </w:r>
          </w:p>
        </w:tc>
      </w:tr>
      <w:tr w:rsidR="00A91708" w:rsidRPr="00A91708" w:rsidTr="00764128">
        <w:tc>
          <w:tcPr>
            <w:tcW w:w="5240" w:type="dxa"/>
          </w:tcPr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2. Одноэтажные деревянные дома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до 1999 года постройки включительно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с ваннами, без душа, не оборудованные </w:t>
            </w:r>
          </w:p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различными водонагревательными устройствами</w:t>
            </w:r>
          </w:p>
        </w:tc>
        <w:tc>
          <w:tcPr>
            <w:tcW w:w="1701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3,793</w:t>
            </w:r>
          </w:p>
        </w:tc>
        <w:tc>
          <w:tcPr>
            <w:tcW w:w="2410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55</w:t>
            </w:r>
          </w:p>
        </w:tc>
      </w:tr>
    </w:tbl>
    <w:p w:rsidR="00A91708" w:rsidRDefault="00A91708" w:rsidP="00A91708">
      <w:pPr>
        <w:jc w:val="center"/>
      </w:pPr>
    </w:p>
    <w:p w:rsidR="00A91708" w:rsidRDefault="00A91708" w:rsidP="00A91708">
      <w:pPr>
        <w:rPr>
          <w:szCs w:val="28"/>
        </w:rPr>
      </w:pPr>
    </w:p>
    <w:p w:rsidR="00A91708" w:rsidRDefault="00A91708" w:rsidP="00A91708">
      <w:pPr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Приложение 4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к постановлению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Администрации города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от ____________ № _______</w:t>
      </w:r>
    </w:p>
    <w:p w:rsidR="00A91708" w:rsidRPr="00A91708" w:rsidRDefault="00A91708" w:rsidP="00A91708">
      <w:pPr>
        <w:ind w:left="5954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Размеры снижения платы граждан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за услугу холодного водоснабжения в целях соблюдения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предельных (максимальных) индексов изменения размера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вносимой гражданами платы за коммунальные услуги в зоне деятельности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гарантирующей организации Сургутское городское муниципальное </w:t>
      </w:r>
    </w:p>
    <w:p w:rsidR="00A91708" w:rsidRP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унитарное предприятие «Горводоканал» 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2410"/>
      </w:tblGrid>
      <w:tr w:rsidR="00A91708" w:rsidRPr="00A91708" w:rsidTr="00764128">
        <w:tc>
          <w:tcPr>
            <w:tcW w:w="5240" w:type="dxa"/>
            <w:vMerge w:val="restart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Вид благоустройства</w:t>
            </w:r>
          </w:p>
        </w:tc>
        <w:tc>
          <w:tcPr>
            <w:tcW w:w="1701" w:type="dxa"/>
            <w:vMerge w:val="restart"/>
          </w:tcPr>
          <w:p w:rsid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Норматив потребления, куб.</w:t>
            </w:r>
            <w:r>
              <w:rPr>
                <w:sz w:val="26"/>
                <w:szCs w:val="26"/>
              </w:rPr>
              <w:t xml:space="preserve"> </w:t>
            </w:r>
            <w:r w:rsidRPr="00A917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етр</w:t>
            </w:r>
            <w:r w:rsidRPr="00A91708">
              <w:rPr>
                <w:sz w:val="26"/>
                <w:szCs w:val="26"/>
              </w:rPr>
              <w:t xml:space="preserve"> </w:t>
            </w:r>
          </w:p>
          <w:p w:rsidR="00A91708" w:rsidRPr="00A91708" w:rsidRDefault="00A91708" w:rsidP="00A9170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на 1 человека в месяц</w:t>
            </w:r>
          </w:p>
        </w:tc>
        <w:tc>
          <w:tcPr>
            <w:tcW w:w="2410" w:type="dxa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Размер снижения платы                              (в процентах)</w:t>
            </w:r>
          </w:p>
        </w:tc>
      </w:tr>
      <w:tr w:rsidR="00A91708" w:rsidRPr="00A91708" w:rsidTr="00764128">
        <w:tc>
          <w:tcPr>
            <w:tcW w:w="5240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микрорайоны 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(поселки) города</w:t>
            </w:r>
          </w:p>
        </w:tc>
      </w:tr>
      <w:tr w:rsidR="00A91708" w:rsidRPr="00A91708" w:rsidTr="00764128">
        <w:tc>
          <w:tcPr>
            <w:tcW w:w="5240" w:type="dxa"/>
          </w:tcPr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1. Двухэтажные капитальные дома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до 1999 года постройки включительно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с ваннами и душевыми, оборудованные </w:t>
            </w:r>
          </w:p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различными водонагревательными устройствами </w:t>
            </w:r>
          </w:p>
        </w:tc>
        <w:tc>
          <w:tcPr>
            <w:tcW w:w="1701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7,014</w:t>
            </w:r>
          </w:p>
        </w:tc>
        <w:tc>
          <w:tcPr>
            <w:tcW w:w="2410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25</w:t>
            </w:r>
          </w:p>
        </w:tc>
      </w:tr>
      <w:tr w:rsidR="00A91708" w:rsidRPr="00A91708" w:rsidTr="00764128">
        <w:tc>
          <w:tcPr>
            <w:tcW w:w="5240" w:type="dxa"/>
          </w:tcPr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2. Двухэтажные капитальные дома дома 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до 1999 года постройки включительно коридорного типа с блоками душевых на этажах и в секциях, оборудованные индивиду</w:t>
            </w:r>
            <w:r>
              <w:rPr>
                <w:sz w:val="26"/>
                <w:szCs w:val="26"/>
              </w:rPr>
              <w:t>-</w:t>
            </w:r>
          </w:p>
          <w:p w:rsid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альным тепловым пунктом (размеры </w:t>
            </w:r>
          </w:p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снижения платы предоставляются по оплате за холодную воду для нужд холодного водоснабжения)</w:t>
            </w:r>
          </w:p>
        </w:tc>
        <w:tc>
          <w:tcPr>
            <w:tcW w:w="1701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2,290</w:t>
            </w:r>
          </w:p>
        </w:tc>
        <w:tc>
          <w:tcPr>
            <w:tcW w:w="2410" w:type="dxa"/>
            <w:vAlign w:val="center"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37</w:t>
            </w:r>
          </w:p>
        </w:tc>
      </w:tr>
    </w:tbl>
    <w:p w:rsidR="00A91708" w:rsidRDefault="00A91708" w:rsidP="00A91708">
      <w:pPr>
        <w:jc w:val="center"/>
      </w:pPr>
    </w:p>
    <w:p w:rsidR="00A91708" w:rsidRPr="00A91708" w:rsidRDefault="00A91708" w:rsidP="00A91708">
      <w:pPr>
        <w:ind w:firstLine="567"/>
        <w:rPr>
          <w:sz w:val="27"/>
          <w:szCs w:val="27"/>
        </w:rPr>
      </w:pPr>
      <w:r w:rsidRPr="00A91708">
        <w:rPr>
          <w:sz w:val="27"/>
          <w:szCs w:val="27"/>
        </w:rPr>
        <w:t>Примечание:</w:t>
      </w:r>
    </w:p>
    <w:p w:rsidR="00A91708" w:rsidRDefault="00A91708" w:rsidP="00A91708">
      <w:pPr>
        <w:ind w:firstLine="567"/>
        <w:jc w:val="both"/>
        <w:rPr>
          <w:szCs w:val="28"/>
        </w:rPr>
      </w:pPr>
      <w:r w:rsidRPr="00A91708">
        <w:rPr>
          <w:sz w:val="27"/>
          <w:szCs w:val="27"/>
        </w:rPr>
        <w:t xml:space="preserve">размеры снижения платы граждан за услугу холодного водоснабжения применяются в случае расчета платы за коммунальную услугу холодного водоснабжения по нормативам потребления при отсутствии обязанности по оснащению жилого </w:t>
      </w:r>
      <w:r>
        <w:rPr>
          <w:sz w:val="27"/>
          <w:szCs w:val="27"/>
        </w:rPr>
        <w:t xml:space="preserve">    </w:t>
      </w:r>
      <w:r w:rsidRPr="00A91708">
        <w:rPr>
          <w:sz w:val="27"/>
          <w:szCs w:val="27"/>
        </w:rPr>
        <w:t xml:space="preserve">помещения приборами учета или технической возможности установки индивидуального прибора учета холодной воды, подтвержденной актом обследования </w:t>
      </w:r>
      <w:r>
        <w:rPr>
          <w:sz w:val="27"/>
          <w:szCs w:val="27"/>
        </w:rPr>
        <w:t xml:space="preserve">                      </w:t>
      </w:r>
      <w:r w:rsidRPr="00A91708">
        <w:rPr>
          <w:sz w:val="27"/>
          <w:szCs w:val="27"/>
        </w:rPr>
        <w:t>на предмет установления наличия (отсутствия) технической возможности установки такого прибора учета.</w:t>
      </w:r>
    </w:p>
    <w:p w:rsidR="00A91708" w:rsidRDefault="00A91708" w:rsidP="00A91708">
      <w:pPr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Приложение 5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к постановлению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Администрации города</w:t>
      </w:r>
    </w:p>
    <w:p w:rsidR="00A91708" w:rsidRPr="00A91708" w:rsidRDefault="00A91708" w:rsidP="00A91708">
      <w:pPr>
        <w:ind w:left="5670"/>
        <w:rPr>
          <w:sz w:val="27"/>
          <w:szCs w:val="27"/>
        </w:rPr>
      </w:pPr>
      <w:r w:rsidRPr="00A91708">
        <w:rPr>
          <w:sz w:val="27"/>
          <w:szCs w:val="27"/>
        </w:rPr>
        <w:t>от ____________ № _________</w:t>
      </w:r>
    </w:p>
    <w:p w:rsidR="00A91708" w:rsidRPr="00A91708" w:rsidRDefault="00A91708" w:rsidP="00A91708">
      <w:pPr>
        <w:ind w:left="5954"/>
        <w:rPr>
          <w:sz w:val="27"/>
          <w:szCs w:val="27"/>
        </w:rPr>
      </w:pP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p w:rsid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Размер снижения платы граждан за услугу подвоза воды </w:t>
      </w:r>
    </w:p>
    <w:p w:rsid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>в жилые</w:t>
      </w:r>
      <w:r>
        <w:rPr>
          <w:rFonts w:eastAsiaTheme="minorEastAsia"/>
          <w:sz w:val="27"/>
          <w:szCs w:val="27"/>
        </w:rPr>
        <w:t xml:space="preserve"> </w:t>
      </w:r>
      <w:r w:rsidRPr="00A91708">
        <w:rPr>
          <w:rFonts w:eastAsiaTheme="minorEastAsia"/>
          <w:sz w:val="27"/>
          <w:szCs w:val="27"/>
        </w:rPr>
        <w:t xml:space="preserve">помещения без централизованного холодного водоснабжения </w:t>
      </w:r>
    </w:p>
    <w:p w:rsidR="00A91708" w:rsidRDefault="00A91708" w:rsidP="00A91708">
      <w:pPr>
        <w:jc w:val="center"/>
        <w:rPr>
          <w:rFonts w:eastAsiaTheme="minorEastAsia"/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 xml:space="preserve">в целях соблюдения предельных (максимальных) индексов изменения 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  <w:r w:rsidRPr="00A91708">
        <w:rPr>
          <w:rFonts w:eastAsiaTheme="minorEastAsia"/>
          <w:sz w:val="27"/>
          <w:szCs w:val="27"/>
        </w:rPr>
        <w:t>размера вносимой гражданами платы за коммунальные услуги</w:t>
      </w:r>
    </w:p>
    <w:p w:rsidR="00A91708" w:rsidRPr="00A91708" w:rsidRDefault="00A91708" w:rsidP="00A91708">
      <w:pPr>
        <w:jc w:val="center"/>
        <w:rPr>
          <w:sz w:val="27"/>
          <w:szCs w:val="27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54"/>
      </w:tblGrid>
      <w:tr w:rsidR="00A91708" w:rsidRPr="00A91708" w:rsidTr="007641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 xml:space="preserve">Размер снижения платы  </w:t>
            </w:r>
          </w:p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(в процентах )</w:t>
            </w:r>
          </w:p>
        </w:tc>
      </w:tr>
      <w:tr w:rsidR="00A91708" w:rsidRPr="00A91708" w:rsidTr="007641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08" w:rsidRPr="00A91708" w:rsidRDefault="00A91708" w:rsidP="00764128">
            <w:pPr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Подвоз воды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08" w:rsidRPr="00A91708" w:rsidRDefault="00A91708" w:rsidP="00764128">
            <w:pPr>
              <w:jc w:val="center"/>
              <w:rPr>
                <w:sz w:val="26"/>
                <w:szCs w:val="26"/>
              </w:rPr>
            </w:pPr>
            <w:r w:rsidRPr="00A91708">
              <w:rPr>
                <w:sz w:val="26"/>
                <w:szCs w:val="26"/>
              </w:rPr>
              <w:t>80</w:t>
            </w:r>
          </w:p>
        </w:tc>
      </w:tr>
    </w:tbl>
    <w:p w:rsidR="00A91708" w:rsidRDefault="00A91708" w:rsidP="00A91708">
      <w:pPr>
        <w:jc w:val="center"/>
        <w:rPr>
          <w:szCs w:val="28"/>
        </w:rPr>
      </w:pPr>
    </w:p>
    <w:sectPr w:rsidR="00A91708" w:rsidSect="00A9170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EA" w:rsidRDefault="005E28EA" w:rsidP="00A91708">
      <w:r>
        <w:separator/>
      </w:r>
    </w:p>
  </w:endnote>
  <w:endnote w:type="continuationSeparator" w:id="0">
    <w:p w:rsidR="005E28EA" w:rsidRDefault="005E28EA" w:rsidP="00A9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EA" w:rsidRDefault="005E28EA" w:rsidP="00A91708">
      <w:r>
        <w:separator/>
      </w:r>
    </w:p>
  </w:footnote>
  <w:footnote w:type="continuationSeparator" w:id="0">
    <w:p w:rsidR="005E28EA" w:rsidRDefault="005E28EA" w:rsidP="00A9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2FA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1DC9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D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D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1DC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81DC9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5948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796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1708" w:rsidRPr="00A91708" w:rsidRDefault="00A91708">
        <w:pPr>
          <w:pStyle w:val="a4"/>
          <w:jc w:val="center"/>
          <w:rPr>
            <w:sz w:val="20"/>
            <w:szCs w:val="20"/>
          </w:rPr>
        </w:pPr>
        <w:r w:rsidRPr="00A91708">
          <w:rPr>
            <w:sz w:val="20"/>
            <w:szCs w:val="20"/>
          </w:rPr>
          <w:fldChar w:fldCharType="begin"/>
        </w:r>
        <w:r w:rsidRPr="00A91708">
          <w:rPr>
            <w:sz w:val="20"/>
            <w:szCs w:val="20"/>
          </w:rPr>
          <w:instrText>PAGE   \* MERGEFORMAT</w:instrText>
        </w:r>
        <w:r w:rsidRPr="00A91708">
          <w:rPr>
            <w:sz w:val="20"/>
            <w:szCs w:val="20"/>
          </w:rPr>
          <w:fldChar w:fldCharType="separate"/>
        </w:r>
        <w:r w:rsidR="005948B7">
          <w:rPr>
            <w:noProof/>
            <w:sz w:val="20"/>
            <w:szCs w:val="20"/>
          </w:rPr>
          <w:t>1</w:t>
        </w:r>
        <w:r w:rsidRPr="00A91708">
          <w:rPr>
            <w:sz w:val="20"/>
            <w:szCs w:val="20"/>
          </w:rPr>
          <w:fldChar w:fldCharType="end"/>
        </w:r>
      </w:p>
    </w:sdtContent>
  </w:sdt>
  <w:p w:rsidR="00A91708" w:rsidRPr="00A91708" w:rsidRDefault="00A91708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08"/>
    <w:rsid w:val="00012FA1"/>
    <w:rsid w:val="0004502F"/>
    <w:rsid w:val="00081DC9"/>
    <w:rsid w:val="000D1A11"/>
    <w:rsid w:val="00226A5C"/>
    <w:rsid w:val="005948B7"/>
    <w:rsid w:val="005E28EA"/>
    <w:rsid w:val="00A91708"/>
    <w:rsid w:val="00AB0A2D"/>
    <w:rsid w:val="00E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5354-0D4C-4526-8496-615AB31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708"/>
    <w:rPr>
      <w:rFonts w:ascii="Times New Roman" w:hAnsi="Times New Roman"/>
      <w:sz w:val="28"/>
    </w:rPr>
  </w:style>
  <w:style w:type="character" w:styleId="a6">
    <w:name w:val="page number"/>
    <w:basedOn w:val="a0"/>
    <w:rsid w:val="00A91708"/>
  </w:style>
  <w:style w:type="paragraph" w:styleId="a7">
    <w:name w:val="List Paragraph"/>
    <w:basedOn w:val="a"/>
    <w:uiPriority w:val="34"/>
    <w:qFormat/>
    <w:rsid w:val="00A9170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39"/>
    <w:rsid w:val="00A9170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917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7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2018-11-28T11:09:00Z</cp:lastPrinted>
  <dcterms:created xsi:type="dcterms:W3CDTF">2018-12-06T09:17:00Z</dcterms:created>
  <dcterms:modified xsi:type="dcterms:W3CDTF">2018-12-06T09:17:00Z</dcterms:modified>
</cp:coreProperties>
</file>