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DA" w:rsidRDefault="001E76DA" w:rsidP="00656C1A">
      <w:pPr>
        <w:spacing w:line="120" w:lineRule="atLeast"/>
        <w:jc w:val="center"/>
        <w:rPr>
          <w:sz w:val="24"/>
          <w:szCs w:val="24"/>
        </w:rPr>
      </w:pPr>
    </w:p>
    <w:p w:rsidR="001E76DA" w:rsidRDefault="001E76DA" w:rsidP="00656C1A">
      <w:pPr>
        <w:spacing w:line="120" w:lineRule="atLeast"/>
        <w:jc w:val="center"/>
        <w:rPr>
          <w:sz w:val="24"/>
          <w:szCs w:val="24"/>
        </w:rPr>
      </w:pPr>
    </w:p>
    <w:p w:rsidR="001E76DA" w:rsidRPr="00852378" w:rsidRDefault="001E76DA" w:rsidP="00656C1A">
      <w:pPr>
        <w:spacing w:line="120" w:lineRule="atLeast"/>
        <w:jc w:val="center"/>
        <w:rPr>
          <w:sz w:val="10"/>
          <w:szCs w:val="10"/>
        </w:rPr>
      </w:pPr>
    </w:p>
    <w:p w:rsidR="001E76DA" w:rsidRDefault="001E76DA" w:rsidP="00656C1A">
      <w:pPr>
        <w:spacing w:line="120" w:lineRule="atLeast"/>
        <w:jc w:val="center"/>
        <w:rPr>
          <w:sz w:val="10"/>
          <w:szCs w:val="24"/>
        </w:rPr>
      </w:pPr>
    </w:p>
    <w:p w:rsidR="001E76DA" w:rsidRPr="005541F0" w:rsidRDefault="001E76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76DA" w:rsidRPr="005541F0" w:rsidRDefault="001E76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76DA" w:rsidRPr="005649E4" w:rsidRDefault="001E76DA" w:rsidP="00656C1A">
      <w:pPr>
        <w:spacing w:line="120" w:lineRule="atLeast"/>
        <w:jc w:val="center"/>
        <w:rPr>
          <w:sz w:val="18"/>
          <w:szCs w:val="24"/>
        </w:rPr>
      </w:pPr>
    </w:p>
    <w:p w:rsidR="001E76DA" w:rsidRPr="00656C1A" w:rsidRDefault="001E76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76DA" w:rsidRPr="005541F0" w:rsidRDefault="001E76DA" w:rsidP="00656C1A">
      <w:pPr>
        <w:spacing w:line="120" w:lineRule="atLeast"/>
        <w:jc w:val="center"/>
        <w:rPr>
          <w:sz w:val="18"/>
          <w:szCs w:val="24"/>
        </w:rPr>
      </w:pPr>
    </w:p>
    <w:p w:rsidR="001E76DA" w:rsidRPr="005541F0" w:rsidRDefault="001E76DA" w:rsidP="00656C1A">
      <w:pPr>
        <w:spacing w:line="120" w:lineRule="atLeast"/>
        <w:jc w:val="center"/>
        <w:rPr>
          <w:sz w:val="20"/>
          <w:szCs w:val="24"/>
        </w:rPr>
      </w:pPr>
    </w:p>
    <w:p w:rsidR="001E76DA" w:rsidRPr="00656C1A" w:rsidRDefault="001E76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E76DA" w:rsidRDefault="001E76DA" w:rsidP="00656C1A">
      <w:pPr>
        <w:spacing w:line="120" w:lineRule="atLeast"/>
        <w:jc w:val="center"/>
        <w:rPr>
          <w:sz w:val="30"/>
          <w:szCs w:val="24"/>
        </w:rPr>
      </w:pPr>
    </w:p>
    <w:p w:rsidR="001E76DA" w:rsidRPr="00656C1A" w:rsidRDefault="001E76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E76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76DA" w:rsidRPr="00F8214F" w:rsidRDefault="001E76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76DA" w:rsidRPr="00F8214F" w:rsidRDefault="009926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76DA" w:rsidRPr="00F8214F" w:rsidRDefault="001E76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76DA" w:rsidRPr="00F8214F" w:rsidRDefault="009926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E76DA" w:rsidRPr="00A63FB0" w:rsidRDefault="001E76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76DA" w:rsidRPr="00A3761A" w:rsidRDefault="009926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E76DA" w:rsidRPr="00F8214F" w:rsidRDefault="001E76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E76DA" w:rsidRPr="00F8214F" w:rsidRDefault="001E76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E76DA" w:rsidRPr="00AB4194" w:rsidRDefault="001E76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E76DA" w:rsidRPr="00F8214F" w:rsidRDefault="009926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1967</w:t>
            </w:r>
          </w:p>
        </w:tc>
      </w:tr>
    </w:tbl>
    <w:p w:rsidR="001E76DA" w:rsidRPr="001E76DA" w:rsidRDefault="001E76DA" w:rsidP="00C725A6">
      <w:pPr>
        <w:rPr>
          <w:rFonts w:cs="Times New Roman"/>
          <w:sz w:val="27"/>
          <w:szCs w:val="27"/>
        </w:rPr>
      </w:pPr>
    </w:p>
    <w:p w:rsidR="001E76DA" w:rsidRPr="001E76DA" w:rsidRDefault="001E76DA" w:rsidP="001E76DA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О внесении изменений</w:t>
      </w:r>
    </w:p>
    <w:p w:rsidR="001E76DA" w:rsidRPr="001E76DA" w:rsidRDefault="001E76DA" w:rsidP="001E76DA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в постановление Администрации города от 26.06.2017 № 5400</w:t>
      </w:r>
    </w:p>
    <w:p w:rsidR="001E76DA" w:rsidRPr="001E76DA" w:rsidRDefault="001E76DA" w:rsidP="001E76DA">
      <w:pPr>
        <w:widowControl w:val="0"/>
        <w:suppressAutoHyphens/>
        <w:ind w:right="5096"/>
        <w:outlineLvl w:val="2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«Об установлении системы оплаты труда работников муниципальных образовательных учреждений города Сургута»</w:t>
      </w:r>
    </w:p>
    <w:p w:rsidR="001E76DA" w:rsidRPr="001E76DA" w:rsidRDefault="001E76DA" w:rsidP="001E76DA">
      <w:pPr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В соответствии с</w:t>
      </w:r>
      <w:r w:rsidRPr="001E76DA">
        <w:rPr>
          <w:rFonts w:eastAsiaTheme="minorEastAs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постановлением Правительства </w:t>
      </w:r>
      <w:r w:rsidRPr="001E76DA">
        <w:rPr>
          <w:rFonts w:eastAsiaTheme="minorEastAsia" w:cs="Times New Roman"/>
          <w:sz w:val="27"/>
          <w:szCs w:val="27"/>
          <w:lang w:eastAsia="ru-RU"/>
        </w:rPr>
        <w:t>Ханты-Мансийского                  автономного округа – Югры от 21.12.2018 № 475-п «Об увеличении фондов оплаты труда государственных учреждений Ханты-Мансийского автономного округа – Югры», приказом Департамента образования и молодежной политики Ханты-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Мансийского автономного округа – Югры от 02.03.2017</w:t>
      </w:r>
      <w:r w:rsidR="0034304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№ 3-нп «Об утверждении Положений об установлении систем оплаты труда работников государственных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образовательных организаций Ханты-Мансийского автономного округа – Югры, подведомственных Департаменту образования и молодежной политики Ханты-Мансийского автономного округа – Югры», распоряжением Администрации города от 30.12.2005 № 3686 «Об утверждении Регламента Администрации города»,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в целях совершенствования муниципальных правовых актов по вопросам оплаты труда работников муниципальных образовательных учреждений, подведом</w:t>
      </w:r>
      <w:r>
        <w:rPr>
          <w:rFonts w:eastAsiaTheme="minorEastAsia" w:cs="Times New Roman"/>
          <w:sz w:val="27"/>
          <w:szCs w:val="27"/>
          <w:lang w:eastAsia="ru-RU"/>
        </w:rPr>
        <w:t xml:space="preserve">-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ственных департаменту образования Администрации города: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 Внести в постановление Администрации города от 26.06.2017 № 5400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«Об установлении системы оплаты труда работников муниципальных образовательных учреждений города Сургута» (с изменениями от 15.09.2017 № 8023, 15.01.2018 № 189, 26.02.2018 № 1372, 10.09.2018 № 6919) следующие изменения: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1.1. В пункте 3 постановления слова «6 150 рублей» заменить словами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«6 300 рублей». 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 В приложении к постановлению: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1.2.1. Пункт 5 таблицы 1 пункта 8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после слов «экспедитор по перевозке грузов» дополнить словами «, ассистент по оказанию технической помощи». </w:t>
      </w:r>
    </w:p>
    <w:p w:rsidR="001E76DA" w:rsidRPr="001E76DA" w:rsidRDefault="001E76DA" w:rsidP="001E76D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1.2.2 Таблицу 2 подпункта 4.6 пункта 4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изложить в следующей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редакции:</w:t>
      </w:r>
    </w:p>
    <w:p w:rsidR="001E76DA" w:rsidRPr="001E76DA" w:rsidRDefault="001E76DA" w:rsidP="001E76D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jc w:val="right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lastRenderedPageBreak/>
        <w:t>«Таблица 2.</w:t>
      </w:r>
    </w:p>
    <w:p w:rsidR="001E76DA" w:rsidRPr="001E76DA" w:rsidRDefault="001E76DA" w:rsidP="001E76DA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Базовый коэффициент </w:t>
      </w:r>
    </w:p>
    <w:p w:rsidR="001E76DA" w:rsidRPr="001E76DA" w:rsidRDefault="001E76DA" w:rsidP="001E76DA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в муниципальных образовательных учреждениях города Сургута</w:t>
      </w:r>
    </w:p>
    <w:p w:rsidR="001E76DA" w:rsidRPr="001E76DA" w:rsidRDefault="001E76DA" w:rsidP="001E76DA">
      <w:pPr>
        <w:widowControl w:val="0"/>
        <w:autoSpaceDE w:val="0"/>
        <w:autoSpaceDN w:val="0"/>
        <w:jc w:val="center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5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998"/>
        <w:gridCol w:w="992"/>
        <w:gridCol w:w="1134"/>
        <w:gridCol w:w="964"/>
        <w:gridCol w:w="466"/>
      </w:tblGrid>
      <w:tr w:rsidR="001E76DA" w:rsidRPr="001E76DA" w:rsidTr="00343049">
        <w:tc>
          <w:tcPr>
            <w:tcW w:w="1984" w:type="dxa"/>
            <w:vMerge w:val="restart"/>
          </w:tcPr>
          <w:p w:rsid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Наименование базового </w:t>
            </w:r>
          </w:p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коэффициента</w:t>
            </w:r>
          </w:p>
        </w:tc>
        <w:tc>
          <w:tcPr>
            <w:tcW w:w="3998" w:type="dxa"/>
            <w:vMerge w:val="restart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3090" w:type="dxa"/>
            <w:gridSpan w:val="3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Размер коэффициента 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1984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руко- води- тели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ind w:hanging="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специа-</w:t>
            </w:r>
          </w:p>
          <w:p w:rsidR="001E76DA" w:rsidRPr="001E76DA" w:rsidRDefault="001E76DA" w:rsidP="001E76DA">
            <w:pPr>
              <w:ind w:hanging="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листы</w:t>
            </w:r>
          </w:p>
        </w:tc>
        <w:tc>
          <w:tcPr>
            <w:tcW w:w="964" w:type="dxa"/>
          </w:tcPr>
          <w:p w:rsidR="001E76DA" w:rsidRPr="001E76DA" w:rsidRDefault="001E76DA" w:rsidP="00343049">
            <w:pPr>
              <w:ind w:right="-108" w:hanging="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служа- щие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hanging="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trHeight w:val="1514"/>
        </w:trPr>
        <w:tc>
          <w:tcPr>
            <w:tcW w:w="1984" w:type="dxa"/>
            <w:vMerge w:val="restart"/>
          </w:tcPr>
          <w:p w:rsidR="001E76DA" w:rsidRPr="001E76DA" w:rsidRDefault="001E76DA" w:rsidP="001E76DA">
            <w:pPr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Коэффициент </w:t>
            </w:r>
          </w:p>
          <w:p w:rsidR="001E76DA" w:rsidRPr="001E76DA" w:rsidRDefault="001E76DA" w:rsidP="001E76DA">
            <w:pPr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уровня </w:t>
            </w:r>
          </w:p>
          <w:p w:rsidR="001E76DA" w:rsidRPr="001E76DA" w:rsidRDefault="001E76DA" w:rsidP="001E76DA">
            <w:pPr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образования</w:t>
            </w:r>
          </w:p>
          <w:p w:rsidR="001E76DA" w:rsidRPr="001E76DA" w:rsidRDefault="001E76DA" w:rsidP="001E76DA">
            <w:pPr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высшее образование, подтверждаемое присвоением лицу, успешно прошедшему итоговую аттестацию, квалификации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(степени) «специалист»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или квалификации (степени)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«магистр»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964" w:type="dxa"/>
          </w:tcPr>
          <w:p w:rsidR="001E76DA" w:rsidRPr="001E76DA" w:rsidRDefault="001E76DA" w:rsidP="001E76DA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1984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высшее образование, подтверждаемое присвоением лицу, успешно прошедшему итоговую аттестацию, квалификации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(степени) «бакалавр»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1,4 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1,4 </w:t>
            </w:r>
          </w:p>
        </w:tc>
        <w:tc>
          <w:tcPr>
            <w:tcW w:w="96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1,4 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1984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среднее профессиональное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образование по программам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подготовки специалистов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среднего звена,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неполное высшее образование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96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1984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среднее профессиональное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образование по программам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подготовки квалифицированных рабочих (служащих)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1,2 </w:t>
            </w:r>
          </w:p>
        </w:tc>
        <w:tc>
          <w:tcPr>
            <w:tcW w:w="96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1,2 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1984" w:type="dxa"/>
            <w:vMerge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98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среднее общее образование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113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964" w:type="dxa"/>
          </w:tcPr>
          <w:p w:rsidR="001E76DA" w:rsidRPr="001E76DA" w:rsidRDefault="001E76DA" w:rsidP="001E76DA">
            <w:pPr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95" w:right="-108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widowControl w:val="0"/>
        <w:autoSpaceDE w:val="0"/>
        <w:autoSpaceDN w:val="0"/>
        <w:adjustRightInd w:val="0"/>
        <w:ind w:left="298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3430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1.2.3. В таблице 6 подпункта 4.10 пункта 4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1E76DA">
        <w:rPr>
          <w:rFonts w:eastAsiaTheme="minorEastAsia" w:cs="Times New Roman"/>
          <w:sz w:val="27"/>
          <w:szCs w:val="27"/>
          <w:lang w:eastAsia="ru-RU"/>
        </w:rPr>
        <w:t>:</w:t>
      </w: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1.2.3.1. Подпункт 1.14 пункта 1, подпункт 2.43 пункта 2 исключить.</w:t>
      </w: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1.2.3.2. Подпункты 1.11 – 1.13, 1.15, 1.18 пункта 1 изложить в следующей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редакции:</w:t>
      </w: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139"/>
        <w:gridCol w:w="2127"/>
        <w:gridCol w:w="2835"/>
        <w:gridCol w:w="283"/>
      </w:tblGrid>
      <w:tr w:rsidR="00343049" w:rsidRPr="001E76DA" w:rsidTr="00343049">
        <w:trPr>
          <w:trHeight w:val="2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049" w:rsidRPr="001E76DA" w:rsidRDefault="00343049" w:rsidP="00343049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343049" w:rsidRPr="001E76DA" w:rsidRDefault="00343049" w:rsidP="00343049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типа </w:t>
            </w:r>
          </w:p>
          <w:p w:rsid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бразовательного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учреждения, </w:t>
            </w:r>
          </w:p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вида деятельности,</w:t>
            </w:r>
          </w:p>
          <w:p w:rsid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категории работников</w:t>
            </w:r>
          </w:p>
          <w:p w:rsidR="00343049" w:rsidRPr="00343049" w:rsidRDefault="00343049" w:rsidP="00343049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</w:tcPr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коэффициента</w:t>
            </w:r>
          </w:p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специфики</w:t>
            </w:r>
          </w:p>
          <w:p w:rsid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работы</w:t>
            </w:r>
          </w:p>
          <w:p w:rsidR="00343049" w:rsidRPr="00343049" w:rsidRDefault="00343049" w:rsidP="00343049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Порядок</w:t>
            </w:r>
          </w:p>
          <w:p w:rsidR="00343049" w:rsidRPr="00343049" w:rsidRDefault="00343049" w:rsidP="00343049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3049">
              <w:rPr>
                <w:rFonts w:ascii="Times New Roman" w:hAnsi="Times New Roman" w:cs="Times New Roman"/>
                <w:sz w:val="27"/>
                <w:szCs w:val="27"/>
              </w:rPr>
              <w:t>установления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049" w:rsidRPr="001E76DA" w:rsidRDefault="00343049" w:rsidP="00343049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trHeight w:val="2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6DA" w:rsidRPr="001E76DA" w:rsidRDefault="001E76DA" w:rsidP="00343049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1E76DA" w:rsidRPr="001E76DA" w:rsidRDefault="001E76DA" w:rsidP="001E76DA">
            <w:pPr>
              <w:tabs>
                <w:tab w:val="left" w:pos="460"/>
              </w:tabs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1.11. Работа младшего воспитателя, помощника воспитателя в дошкольном образовательном учреждении</w:t>
            </w:r>
          </w:p>
        </w:tc>
        <w:tc>
          <w:tcPr>
            <w:tcW w:w="2127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0,05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343049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1.12. Работа специалиста </w:t>
            </w:r>
          </w:p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охране труда </w:t>
            </w:r>
          </w:p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343049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1.13. Работа специалиста </w:t>
            </w:r>
          </w:p>
          <w:p w:rsidR="00343049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закупкам, специалиста </w:t>
            </w:r>
          </w:p>
          <w:p w:rsidR="00343049" w:rsidRDefault="001E76DA" w:rsidP="00343049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кадрам, инспектора</w:t>
            </w:r>
          </w:p>
          <w:p w:rsidR="001E76DA" w:rsidRPr="001E76DA" w:rsidRDefault="001E76DA" w:rsidP="00343049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кадрам</w:t>
            </w:r>
          </w:p>
        </w:tc>
        <w:tc>
          <w:tcPr>
            <w:tcW w:w="2127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0,10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1.15. Работа водителя автомобиля </w:t>
            </w:r>
          </w:p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0,35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:rsidR="00343049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1.18. Работа в дошкольном образовательном учреждении педагогических работников (кроме </w:t>
            </w:r>
          </w:p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воспитателя (включая старшего), педагога дополнительного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образования)</w:t>
            </w:r>
          </w:p>
        </w:tc>
        <w:tc>
          <w:tcPr>
            <w:tcW w:w="2127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0,05    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343049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</w:t>
            </w:r>
          </w:p>
          <w:p w:rsidR="00343049" w:rsidRDefault="00343049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343049" w:rsidRDefault="00343049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343049" w:rsidRDefault="00343049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pacing w:val="-4"/>
          <w:sz w:val="27"/>
          <w:szCs w:val="27"/>
          <w:lang w:eastAsia="ru-RU"/>
        </w:rPr>
      </w:pP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>1.2.3.3. Пункт 1 дополнить подпунктами 1.19, 1.20, 1.21 следующего содер</w:t>
      </w:r>
      <w:r w:rsidR="00343049">
        <w:rPr>
          <w:rFonts w:eastAsiaTheme="minorEastAsia" w:cs="Times New Roman"/>
          <w:spacing w:val="-4"/>
          <w:sz w:val="27"/>
          <w:szCs w:val="27"/>
          <w:lang w:eastAsia="ru-RU"/>
        </w:rPr>
        <w:t xml:space="preserve">-        </w:t>
      </w: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>жания: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1.19. Работа в дошкольном образова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-</w:t>
            </w:r>
          </w:p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тельном учреждении специалистов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(кроме педагогических работников)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0,2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1.20. Работа в дошкольном образова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-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тельном учреждении служащих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0,18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1.21. Работа в дошкольном образова</w:t>
            </w:r>
            <w:r>
              <w:rPr>
                <w:rFonts w:eastAsiaTheme="minorEastAsia" w:cs="Times New Roman"/>
                <w:sz w:val="27"/>
                <w:szCs w:val="27"/>
                <w:lang w:eastAsia="ru-RU"/>
              </w:rPr>
              <w:t>-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тельном учреждении рабочих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0,04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1.2.3.4. Подпункты 2.17, 2.37, 2.40 – </w:t>
      </w:r>
      <w:r w:rsidR="00343049">
        <w:rPr>
          <w:rFonts w:eastAsiaTheme="minorEastAsia" w:cs="Times New Roman"/>
          <w:sz w:val="27"/>
          <w:szCs w:val="27"/>
          <w:lang w:eastAsia="ru-RU"/>
        </w:rPr>
        <w:t xml:space="preserve">2.42, </w:t>
      </w:r>
      <w:r w:rsidRPr="001E76DA">
        <w:rPr>
          <w:rFonts w:eastAsiaTheme="minorEastAsia" w:cs="Times New Roman"/>
          <w:sz w:val="27"/>
          <w:szCs w:val="27"/>
          <w:lang w:eastAsia="ru-RU"/>
        </w:rPr>
        <w:t>2.44, 2.45 пункта 2 изложить в следу-    ющей редакции: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tabs>
                <w:tab w:val="left" w:pos="0"/>
              </w:tabs>
              <w:suppressAutoHyphens/>
              <w:overflowPunct w:val="0"/>
              <w:ind w:right="45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2.17. Работа младшего воспитателя, помощника воспитателя в дошкольной группе общеобразовательного учреждения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0,05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2.37. Работа педагога-библиотекаря,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ведущего библиотекаря, библиотекаря              1 категории, библиотекаря 2 категории, библиотекаря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0,20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2.40. Работа слесаря-сантехника, слесаря по контрольно-измерительным приборам </w:t>
            </w:r>
          </w:p>
          <w:p w:rsidR="00343049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и автоматике, электросварщика, электромонтера по ремонту </w:t>
            </w:r>
          </w:p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и обслуживанию электрооборудования, слесаря-электрика по ремонту электрооборудования по обеспечению технического обслуживания </w:t>
            </w:r>
          </w:p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и эксплуатации бассейна с машинным отделением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0,15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2.41. Работа специалиста по охране труда, ведущего инженера</w:t>
            </w:r>
          </w:p>
          <w:p w:rsidR="001E76DA" w:rsidRPr="001E76DA" w:rsidRDefault="001E76DA" w:rsidP="001E76DA">
            <w:pPr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0,25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2.42. Работа специалиста по закупкам, специалиста по кадрам, инспектора </w:t>
            </w:r>
          </w:p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кадрам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0,10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2.44. Работа водителя автомобиля </w:t>
            </w:r>
          </w:p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0,35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trHeight w:val="177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2.45. Работа в общеобразовательном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учреждении педагогического работника (кроме учителя, воспитателя (включая старшего) в дошкольной группе, педагога дополнительного образования, тренера-преподавателя, педагога-библиотекаря)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0,05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343049">
      <w:pPr>
        <w:tabs>
          <w:tab w:val="left" w:pos="142"/>
          <w:tab w:val="left" w:pos="567"/>
          <w:tab w:val="left" w:pos="8909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343049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343049">
        <w:rPr>
          <w:rFonts w:eastAsiaTheme="minorEastAsia" w:cs="Times New Roman"/>
          <w:sz w:val="27"/>
          <w:szCs w:val="27"/>
          <w:lang w:eastAsia="ru-RU"/>
        </w:rPr>
        <w:t>1.2.3.5. Пункт 2 дополнить подпунктами 2.46, 2.47, 2.48 следующего содержания: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1E76DA" w:rsidRPr="001E76DA" w:rsidTr="005829F9">
        <w:trPr>
          <w:trHeight w:val="104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2.46. Работа в общеобразовательном </w:t>
            </w:r>
          </w:p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учреждении специалистов (кроме педагогических работников, за исключением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педагога-библиотекаря)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0,2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2.47. Работа в общеобразовательном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учреждении служащих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0,18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2.48. Работа в общеобразовательном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учреждении рабочих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0,04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1.2.3.6. Подпункты 3.8 – 3.12 пункта 3 изложить в следующей редакции: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3.8. Работа специалиста по охране труда, ведущего инженера</w:t>
            </w:r>
          </w:p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0,25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3.9. Работа специалиста по закупкам, специалиста по кадрам, инспектора </w:t>
            </w:r>
          </w:p>
          <w:p w:rsidR="001E76DA" w:rsidRP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кадрам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0,10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suppressAutoHyphens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3.10. Работа слесаря-сантехника, слесаря по контрольно-измерительным приборам </w:t>
            </w:r>
          </w:p>
          <w:p w:rsidR="00343049" w:rsidRDefault="001E76DA" w:rsidP="00343049">
            <w:pPr>
              <w:suppressAutoHyphens/>
              <w:ind w:right="-141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и автоматике, электросварщика, электромонтера по ремонту и обслужи</w:t>
            </w:r>
            <w:r w:rsidR="00343049">
              <w:rPr>
                <w:rFonts w:eastAsiaTheme="minorEastAsia" w:cs="Times New Roman"/>
                <w:sz w:val="27"/>
                <w:szCs w:val="27"/>
                <w:lang w:eastAsia="ru-RU"/>
              </w:rPr>
              <w:t>-</w:t>
            </w: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ванию электрооборудования, слесаря-электрика по ремонту электрооборудования по обеспечению технического обслужи</w:t>
            </w:r>
            <w:r w:rsidR="00343049">
              <w:rPr>
                <w:rFonts w:eastAsiaTheme="minorEastAsia" w:cs="Times New Roman"/>
                <w:sz w:val="27"/>
                <w:szCs w:val="27"/>
                <w:lang w:eastAsia="ru-RU"/>
              </w:rPr>
              <w:t>-</w:t>
            </w: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вания и эксплуатации бассейна </w:t>
            </w:r>
          </w:p>
          <w:p w:rsidR="001E76DA" w:rsidRPr="001E76DA" w:rsidRDefault="001E76DA" w:rsidP="00343049">
            <w:pPr>
              <w:suppressAutoHyphens/>
              <w:ind w:right="-141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с машинным отделением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2835" w:type="dxa"/>
          </w:tcPr>
          <w:p w:rsidR="00343049" w:rsidRDefault="001E76DA" w:rsidP="00343049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343049" w:rsidRDefault="001E76DA" w:rsidP="00343049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343049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соответствующим должностям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3.11. Работа водителя автомобиля </w:t>
            </w:r>
          </w:p>
          <w:p w:rsidR="001E76DA" w:rsidRPr="001E76DA" w:rsidRDefault="001E76DA" w:rsidP="001E76DA">
            <w:pPr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0,35</w:t>
            </w:r>
          </w:p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Default="001E76DA" w:rsidP="001E76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343049" w:rsidRPr="001E76DA" w:rsidRDefault="001E76DA" w:rsidP="0034304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по должности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cantSplit/>
          <w:trHeight w:val="107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3.12. Работа в учреждении дополнительного образования педагогических работников (кроме педагога дополнительного образования, тренера-преподавателя)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0,05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343049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pacing w:val="-4"/>
          <w:sz w:val="27"/>
          <w:szCs w:val="27"/>
          <w:lang w:eastAsia="ru-RU"/>
        </w:rPr>
      </w:pP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>1.2.3.7. Пункт 3 дополнить подпунктами 3.13, 3.14, 3.15 следующего содер</w:t>
      </w:r>
      <w:r w:rsidR="00343049">
        <w:rPr>
          <w:rFonts w:eastAsiaTheme="minorEastAsia" w:cs="Times New Roman"/>
          <w:spacing w:val="-4"/>
          <w:sz w:val="27"/>
          <w:szCs w:val="27"/>
          <w:lang w:eastAsia="ru-RU"/>
        </w:rPr>
        <w:t xml:space="preserve">-        </w:t>
      </w: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>жания: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245"/>
        <w:gridCol w:w="992"/>
        <w:gridCol w:w="2835"/>
        <w:gridCol w:w="283"/>
      </w:tblGrid>
      <w:tr w:rsidR="001E76DA" w:rsidRPr="001E76DA" w:rsidTr="00343049">
        <w:trPr>
          <w:trHeight w:val="77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«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3.13. Работа в учреждении дополнительного образования специалистов (кроме </w:t>
            </w:r>
          </w:p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педагогических работников)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0,2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3.14. Работа в учреждении дополнительного образования служащих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0,18 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1E76DA" w:rsidRPr="001E76DA" w:rsidTr="005829F9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108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</w:tcPr>
          <w:p w:rsidR="001E76DA" w:rsidRPr="001E76DA" w:rsidRDefault="001E76DA" w:rsidP="001E76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3.15. Работа в учреждении дополнительного образования рабочих </w:t>
            </w:r>
          </w:p>
        </w:tc>
        <w:tc>
          <w:tcPr>
            <w:tcW w:w="992" w:type="dxa"/>
          </w:tcPr>
          <w:p w:rsidR="001E76DA" w:rsidRPr="001E76DA" w:rsidRDefault="001E76DA" w:rsidP="001E76DA">
            <w:pPr>
              <w:ind w:hanging="1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0,04               </w:t>
            </w:r>
          </w:p>
        </w:tc>
        <w:tc>
          <w:tcPr>
            <w:tcW w:w="2835" w:type="dxa"/>
          </w:tcPr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устанавливается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за все часы работы </w:t>
            </w:r>
          </w:p>
          <w:p w:rsidR="001E76DA" w:rsidRPr="001E76DA" w:rsidRDefault="001E76DA" w:rsidP="001E76DA">
            <w:pPr>
              <w:ind w:hanging="19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по должности 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ind w:left="-108" w:right="-108"/>
              <w:jc w:val="right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tabs>
          <w:tab w:val="left" w:pos="1276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1E76DA">
      <w:pPr>
        <w:tabs>
          <w:tab w:val="left" w:pos="1276"/>
        </w:tabs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1.2.4. Таблицу 7 подпункта 8.1 пункта 8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изложить в следующей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редакции:</w:t>
      </w:r>
    </w:p>
    <w:p w:rsidR="001E76DA" w:rsidRPr="00343049" w:rsidRDefault="001E76DA" w:rsidP="001E76DA">
      <w:pPr>
        <w:tabs>
          <w:tab w:val="left" w:pos="1276"/>
        </w:tabs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1E76DA" w:rsidRPr="001E76DA" w:rsidRDefault="001E76DA" w:rsidP="001E76DA">
      <w:pPr>
        <w:jc w:val="right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«Таблица 7.</w:t>
      </w:r>
    </w:p>
    <w:p w:rsidR="001E76DA" w:rsidRPr="001E76DA" w:rsidRDefault="001E76DA" w:rsidP="001E76DA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Тарифная сетка по оплате труда рабочих муниципальных </w:t>
      </w:r>
    </w:p>
    <w:p w:rsidR="001E76DA" w:rsidRPr="001E76DA" w:rsidRDefault="001E76DA" w:rsidP="001E76DA">
      <w:pPr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образовательных учреждений города Сургута</w:t>
      </w:r>
    </w:p>
    <w:p w:rsidR="001E76DA" w:rsidRPr="001E76DA" w:rsidRDefault="001E76DA" w:rsidP="001E76DA">
      <w:pPr>
        <w:jc w:val="center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735"/>
        <w:gridCol w:w="709"/>
        <w:gridCol w:w="646"/>
        <w:gridCol w:w="771"/>
        <w:gridCol w:w="682"/>
        <w:gridCol w:w="709"/>
        <w:gridCol w:w="709"/>
        <w:gridCol w:w="735"/>
        <w:gridCol w:w="709"/>
        <w:gridCol w:w="310"/>
      </w:tblGrid>
      <w:tr w:rsidR="001E76DA" w:rsidRPr="001E76DA" w:rsidTr="00343049">
        <w:tc>
          <w:tcPr>
            <w:tcW w:w="2268" w:type="dxa"/>
          </w:tcPr>
          <w:p w:rsidR="00343049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Разряд </w:t>
            </w:r>
          </w:p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оплаты труда</w:t>
            </w:r>
          </w:p>
        </w:tc>
        <w:tc>
          <w:tcPr>
            <w:tcW w:w="709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35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9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46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71" w:type="dxa"/>
          </w:tcPr>
          <w:p w:rsidR="001E76DA" w:rsidRPr="001E76DA" w:rsidRDefault="001E76DA" w:rsidP="00343049">
            <w:pPr>
              <w:keepNext/>
              <w:ind w:left="142" w:hanging="187"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2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09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09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35" w:type="dxa"/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343049">
            <w:pPr>
              <w:keepNext/>
              <w:jc w:val="center"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1E76DA" w:rsidRPr="001E76DA" w:rsidTr="00343049">
        <w:trPr>
          <w:trHeight w:val="579"/>
        </w:trPr>
        <w:tc>
          <w:tcPr>
            <w:tcW w:w="2268" w:type="dxa"/>
          </w:tcPr>
          <w:p w:rsidR="001E76DA" w:rsidRDefault="001E76DA" w:rsidP="001E76DA">
            <w:pPr>
              <w:keepNext/>
              <w:outlineLvl w:val="2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Тарифный </w:t>
            </w:r>
          </w:p>
          <w:p w:rsidR="001E76DA" w:rsidRPr="001E76DA" w:rsidRDefault="001E76DA" w:rsidP="001E76DA">
            <w:pPr>
              <w:keepNext/>
              <w:outlineLvl w:val="2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коэффициент</w:t>
            </w:r>
          </w:p>
        </w:tc>
        <w:tc>
          <w:tcPr>
            <w:tcW w:w="709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08" w:right="-13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1,440</w:t>
            </w:r>
          </w:p>
        </w:tc>
        <w:tc>
          <w:tcPr>
            <w:tcW w:w="7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85" w:right="-108" w:hanging="15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1,446</w:t>
            </w:r>
          </w:p>
        </w:tc>
        <w:tc>
          <w:tcPr>
            <w:tcW w:w="709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97" w:right="-46" w:firstLine="89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1,452</w:t>
            </w:r>
          </w:p>
        </w:tc>
        <w:tc>
          <w:tcPr>
            <w:tcW w:w="646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70" w:right="-108" w:firstLine="51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1,461</w:t>
            </w:r>
          </w:p>
        </w:tc>
        <w:tc>
          <w:tcPr>
            <w:tcW w:w="771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87" w:right="-55" w:firstLine="142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1,467</w:t>
            </w:r>
          </w:p>
        </w:tc>
        <w:tc>
          <w:tcPr>
            <w:tcW w:w="682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34" w:right="-108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1,476</w:t>
            </w:r>
          </w:p>
        </w:tc>
        <w:tc>
          <w:tcPr>
            <w:tcW w:w="709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1,482</w:t>
            </w:r>
          </w:p>
        </w:tc>
        <w:tc>
          <w:tcPr>
            <w:tcW w:w="709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08" w:right="-13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1,491</w:t>
            </w:r>
          </w:p>
        </w:tc>
        <w:tc>
          <w:tcPr>
            <w:tcW w:w="735" w:type="dxa"/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82" w:right="-24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ind w:left="-108" w:right="-135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1,506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6DA" w:rsidRPr="001E76DA" w:rsidRDefault="001E76DA" w:rsidP="001E76DA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  <w:p w:rsidR="001E76DA" w:rsidRPr="001E76DA" w:rsidRDefault="001E76DA" w:rsidP="001E76DA">
            <w:pPr>
              <w:widowControl w:val="0"/>
              <w:autoSpaceDE w:val="0"/>
              <w:autoSpaceDN w:val="0"/>
              <w:ind w:left="-81" w:right="-134"/>
              <w:jc w:val="center"/>
              <w:rPr>
                <w:rFonts w:eastAsiaTheme="minorEastAsia" w:cs="Times New Roman"/>
                <w:sz w:val="27"/>
                <w:szCs w:val="27"/>
                <w:highlight w:val="yellow"/>
                <w:lang w:eastAsia="ru-RU"/>
              </w:rPr>
            </w:pPr>
            <w:r w:rsidRPr="001E76DA">
              <w:rPr>
                <w:rFonts w:eastAsiaTheme="minorEastAsia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567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1.2.5. В таблице 11 пункта 2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IV</w:t>
      </w:r>
      <w:r w:rsidRPr="001E76DA">
        <w:rPr>
          <w:rFonts w:eastAsiaTheme="minorEastAsia" w:cs="Times New Roman"/>
          <w:sz w:val="27"/>
          <w:szCs w:val="27"/>
          <w:lang w:eastAsia="ru-RU"/>
        </w:rPr>
        <w:t>: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1.2.5.1. В подпункте 1.1 пункта 1 слова «пунктом 4» заменить словами                 «подпунктами 4.1 – 4.6 пункта 4».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1.2.5.2. В подпункте 2.1 пункта 2: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слова «до 20% от должностного оклада» заменить словами «</w:t>
      </w:r>
      <w:r w:rsidRPr="001E76DA">
        <w:rPr>
          <w:rFonts w:eastAsiaTheme="minorEastAsia" w:cs="Times New Roman"/>
          <w:sz w:val="27"/>
          <w:szCs w:val="27"/>
        </w:rPr>
        <w:t>до 21% от должностного оклада»;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</w:rPr>
        <w:t xml:space="preserve">- </w:t>
      </w:r>
      <w:r w:rsidRPr="001E76DA">
        <w:rPr>
          <w:rFonts w:eastAsiaTheme="minorEastAsia" w:cs="Times New Roman"/>
          <w:sz w:val="27"/>
          <w:szCs w:val="27"/>
        </w:rPr>
        <w:t>слова «15%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от должностного оклада</w:t>
      </w:r>
      <w:r w:rsidRPr="001E76DA">
        <w:rPr>
          <w:rFonts w:eastAsiaTheme="minorEastAsia" w:cs="Times New Roman"/>
          <w:sz w:val="27"/>
          <w:szCs w:val="27"/>
        </w:rPr>
        <w:t xml:space="preserve">» заменить словами «16% </w:t>
      </w:r>
      <w:r w:rsidRPr="001E76DA">
        <w:rPr>
          <w:rFonts w:eastAsiaTheme="minorEastAsia" w:cs="Times New Roman"/>
          <w:sz w:val="27"/>
          <w:szCs w:val="27"/>
          <w:lang w:eastAsia="ru-RU"/>
        </w:rPr>
        <w:t>от должностного оклада</w:t>
      </w:r>
      <w:r w:rsidRPr="001E76DA">
        <w:rPr>
          <w:rFonts w:eastAsiaTheme="minorEastAsia" w:cs="Times New Roman"/>
          <w:sz w:val="27"/>
          <w:szCs w:val="27"/>
        </w:rPr>
        <w:t>»;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слова «пунктом 4» заменить словами «</w:t>
      </w:r>
      <w:r w:rsidRPr="001E76DA">
        <w:rPr>
          <w:rFonts w:eastAsiaTheme="minorEastAsia" w:cs="Times New Roman"/>
          <w:sz w:val="27"/>
          <w:szCs w:val="27"/>
        </w:rPr>
        <w:t>подпунктами 4.1 – 4.6 пункта 4».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</w:rPr>
        <w:t>1.2.5.3. П</w:t>
      </w:r>
      <w:r w:rsidRPr="001E76DA">
        <w:rPr>
          <w:rFonts w:eastAsiaTheme="minorEastAsia" w:cs="Times New Roman"/>
          <w:sz w:val="27"/>
          <w:szCs w:val="27"/>
          <w:lang w:eastAsia="ru-RU"/>
        </w:rPr>
        <w:t>одпункт 2.1 пункта 2 после слов «</w:t>
      </w:r>
      <w:r w:rsidRPr="001E76DA">
        <w:rPr>
          <w:rFonts w:eastAsiaTheme="minorEastAsia" w:cs="Times New Roman"/>
          <w:sz w:val="27"/>
          <w:szCs w:val="27"/>
        </w:rPr>
        <w:t xml:space="preserve">премирование производится                за каждый этап» дополнить словами «в порядке, установленном подпунктом 4.7 пункта 4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IV</w:t>
      </w:r>
      <w:r w:rsidRPr="001E76DA">
        <w:rPr>
          <w:rFonts w:eastAsiaTheme="minorEastAsia" w:cs="Times New Roman"/>
          <w:sz w:val="27"/>
          <w:szCs w:val="27"/>
        </w:rPr>
        <w:t xml:space="preserve"> настоящего положения».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1.2.5.4. В подпункте 4.1 пункта 4 слова «от 10 до 50%» заменить словами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«от 20 до 50%».</w:t>
      </w:r>
    </w:p>
    <w:p w:rsid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1.2.6. В подпункте 4.4</w:t>
      </w:r>
      <w:r w:rsidRPr="001E76DA">
        <w:rPr>
          <w:rFonts w:eastAsiaTheme="minorEastAsia" w:cs="Times New Roman"/>
          <w:sz w:val="27"/>
          <w:szCs w:val="27"/>
        </w:rPr>
        <w:t xml:space="preserve"> пункта 4 раздела </w:t>
      </w:r>
      <w:r w:rsidRPr="001E76DA">
        <w:rPr>
          <w:rFonts w:eastAsiaTheme="minorEastAsia" w:cs="Times New Roman"/>
          <w:sz w:val="27"/>
          <w:szCs w:val="27"/>
          <w:lang w:val="en-US"/>
        </w:rPr>
        <w:t>IV</w:t>
      </w:r>
      <w:r>
        <w:rPr>
          <w:rFonts w:eastAsiaTheme="minorEastAsia" w:cs="Times New Roman"/>
          <w:sz w:val="27"/>
          <w:szCs w:val="27"/>
        </w:rPr>
        <w:t>:</w:t>
      </w:r>
    </w:p>
    <w:p w:rsid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слова «до 50%» заменить словами «50%»</w:t>
      </w:r>
      <w:r>
        <w:rPr>
          <w:rFonts w:eastAsiaTheme="minorEastAsia" w:cs="Times New Roman"/>
          <w:sz w:val="27"/>
          <w:szCs w:val="27"/>
          <w:lang w:eastAsia="ru-RU"/>
        </w:rPr>
        <w:t>;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:rsid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слова «до 35%» заменить словами «35%»</w:t>
      </w:r>
      <w:r>
        <w:rPr>
          <w:rFonts w:eastAsiaTheme="minorEastAsia" w:cs="Times New Roman"/>
          <w:sz w:val="27"/>
          <w:szCs w:val="27"/>
          <w:lang w:eastAsia="ru-RU"/>
        </w:rPr>
        <w:t>;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слова «до 20%» заменить словами «21%».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1.2.7. В подпункте 4.5</w:t>
      </w:r>
      <w:r w:rsidRPr="001E76DA">
        <w:rPr>
          <w:rFonts w:eastAsiaTheme="minorEastAsia" w:cs="Times New Roman"/>
          <w:sz w:val="27"/>
          <w:szCs w:val="27"/>
        </w:rPr>
        <w:t xml:space="preserve"> пункта 4 раздела </w:t>
      </w:r>
      <w:r w:rsidRPr="001E76DA">
        <w:rPr>
          <w:rFonts w:eastAsiaTheme="minorEastAsia" w:cs="Times New Roman"/>
          <w:sz w:val="27"/>
          <w:szCs w:val="27"/>
          <w:lang w:val="en-US"/>
        </w:rPr>
        <w:t>IV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слова </w:t>
      </w:r>
      <w:r w:rsidRPr="001E76DA">
        <w:rPr>
          <w:rFonts w:eastAsiaTheme="minorEastAsia" w:cs="Times New Roman"/>
          <w:sz w:val="27"/>
          <w:szCs w:val="27"/>
        </w:rPr>
        <w:t>«15%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от должностного оклада</w:t>
      </w:r>
      <w:r w:rsidRPr="001E76DA">
        <w:rPr>
          <w:rFonts w:eastAsiaTheme="minorEastAsia" w:cs="Times New Roman"/>
          <w:sz w:val="27"/>
          <w:szCs w:val="27"/>
        </w:rPr>
        <w:t>» заменить словами «16%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от должностного оклада</w:t>
      </w:r>
      <w:r w:rsidRPr="001E76DA">
        <w:rPr>
          <w:rFonts w:eastAsiaTheme="minorEastAsia" w:cs="Times New Roman"/>
          <w:sz w:val="27"/>
          <w:szCs w:val="27"/>
        </w:rPr>
        <w:t>».</w:t>
      </w:r>
    </w:p>
    <w:p w:rsidR="001E76DA" w:rsidRPr="001E76DA" w:rsidRDefault="001E76DA" w:rsidP="001E76DA">
      <w:pPr>
        <w:tabs>
          <w:tab w:val="left" w:pos="142"/>
          <w:tab w:val="left" w:pos="567"/>
          <w:tab w:val="left" w:pos="1418"/>
        </w:tabs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</w:rPr>
        <w:t xml:space="preserve">1.2.8. Подпункт 4.7 пункта 4 раздела </w:t>
      </w:r>
      <w:r w:rsidRPr="001E76DA">
        <w:rPr>
          <w:rFonts w:eastAsiaTheme="minorEastAsia" w:cs="Times New Roman"/>
          <w:sz w:val="27"/>
          <w:szCs w:val="27"/>
          <w:lang w:val="en-US"/>
        </w:rPr>
        <w:t>IV</w:t>
      </w:r>
      <w:r w:rsidRPr="001E76DA">
        <w:rPr>
          <w:rFonts w:eastAsiaTheme="minorEastAsia" w:cs="Times New Roman"/>
          <w:sz w:val="27"/>
          <w:szCs w:val="27"/>
        </w:rPr>
        <w:t xml:space="preserve"> дополнить абзацем </w:t>
      </w:r>
      <w:r w:rsidR="00343049" w:rsidRPr="001E76DA">
        <w:rPr>
          <w:rFonts w:eastAsiaTheme="minorEastAsia" w:cs="Times New Roman"/>
          <w:sz w:val="27"/>
          <w:szCs w:val="27"/>
        </w:rPr>
        <w:t xml:space="preserve">седьмым </w:t>
      </w:r>
      <w:r w:rsidRPr="001E76DA">
        <w:rPr>
          <w:rFonts w:eastAsiaTheme="minorEastAsia" w:cs="Times New Roman"/>
          <w:sz w:val="27"/>
          <w:szCs w:val="27"/>
        </w:rPr>
        <w:t>следующего содержания: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«В случае если </w:t>
      </w:r>
      <w:r w:rsidRPr="001E76DA">
        <w:rPr>
          <w:rFonts w:eastAsiaTheme="minorEastAsia" w:cs="Times New Roman"/>
          <w:sz w:val="27"/>
          <w:szCs w:val="27"/>
        </w:rPr>
        <w:t xml:space="preserve">подготовку победителя (1 место), призера (2, 3 место) </w:t>
      </w:r>
      <w:r>
        <w:rPr>
          <w:rFonts w:eastAsiaTheme="minorEastAsia" w:cs="Times New Roman"/>
          <w:sz w:val="27"/>
          <w:szCs w:val="27"/>
        </w:rPr>
        <w:t xml:space="preserve">                      </w:t>
      </w:r>
      <w:r w:rsidRPr="001E76DA">
        <w:rPr>
          <w:rFonts w:eastAsiaTheme="minorEastAsia" w:cs="Times New Roman"/>
          <w:sz w:val="27"/>
          <w:szCs w:val="27"/>
        </w:rPr>
        <w:t xml:space="preserve">Всероссийской олимпиады школьников (регионального, федерального этапов) </w:t>
      </w:r>
      <w:r>
        <w:rPr>
          <w:rFonts w:eastAsiaTheme="minorEastAsia" w:cs="Times New Roman"/>
          <w:sz w:val="27"/>
          <w:szCs w:val="27"/>
        </w:rPr>
        <w:t xml:space="preserve">                 </w:t>
      </w:r>
      <w:r w:rsidRPr="001E76DA">
        <w:rPr>
          <w:rFonts w:eastAsiaTheme="minorEastAsia" w:cs="Times New Roman"/>
          <w:sz w:val="27"/>
          <w:szCs w:val="27"/>
        </w:rPr>
        <w:t xml:space="preserve">осуществляло несколько учителей-наставников, выплата премирования производится всем указанным учителям в одинаковом размере, который определяется </w:t>
      </w:r>
      <w:r>
        <w:rPr>
          <w:rFonts w:eastAsiaTheme="minorEastAsia" w:cs="Times New Roman"/>
          <w:sz w:val="27"/>
          <w:szCs w:val="27"/>
        </w:rPr>
        <w:t xml:space="preserve">                   </w:t>
      </w:r>
      <w:r w:rsidRPr="001E76DA">
        <w:rPr>
          <w:rFonts w:eastAsiaTheme="minorEastAsia" w:cs="Times New Roman"/>
          <w:sz w:val="27"/>
          <w:szCs w:val="27"/>
        </w:rPr>
        <w:t xml:space="preserve">путем деления установленного размера премирования за соответствующий этап </w:t>
      </w:r>
      <w:r>
        <w:rPr>
          <w:rFonts w:eastAsiaTheme="minorEastAsia" w:cs="Times New Roman"/>
          <w:sz w:val="27"/>
          <w:szCs w:val="27"/>
        </w:rPr>
        <w:t xml:space="preserve">                     </w:t>
      </w:r>
      <w:r w:rsidRPr="001E76DA">
        <w:rPr>
          <w:rFonts w:eastAsiaTheme="minorEastAsia" w:cs="Times New Roman"/>
          <w:sz w:val="27"/>
          <w:szCs w:val="27"/>
        </w:rPr>
        <w:t>на число учителей-наставников, осуществляющих подготовку учащегося».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</w:rPr>
        <w:t xml:space="preserve">1.2.9. Подпункт 6.1 пункта 6 раздела </w:t>
      </w:r>
      <w:r w:rsidRPr="001E76DA">
        <w:rPr>
          <w:rFonts w:eastAsiaTheme="minorEastAsia" w:cs="Times New Roman"/>
          <w:sz w:val="27"/>
          <w:szCs w:val="27"/>
          <w:lang w:val="en-US"/>
        </w:rPr>
        <w:t>IV</w:t>
      </w:r>
      <w:r w:rsidRPr="001E76DA">
        <w:rPr>
          <w:rFonts w:eastAsiaTheme="minorEastAsia" w:cs="Times New Roman"/>
          <w:sz w:val="27"/>
          <w:szCs w:val="27"/>
        </w:rPr>
        <w:t xml:space="preserve"> изложить в следующей редакции: 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</w:rPr>
        <w:t>«6.1. Выплата за высокие результаты работы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устанавливается за высокую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результативность работы, обеспечение безаварийной, бесперебойной работы образовательного учреждения.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</w:rPr>
        <w:t>Выплата за высокие результаты работы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производится: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заместителю руководителя по административно-хозяйственной работе, главному бухгалтеру – в размере 50% от должностного оклада;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руководителю структурного подразделения (кроме руководителя центра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дополнительного образования детей, заведующего отделом) – в размере 35%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от должностного оклада;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специалистам (кроме педагогических работников) – в размере 21% от должностного оклада;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1E76DA">
        <w:rPr>
          <w:rFonts w:eastAsiaTheme="minorEastAsia" w:cs="Times New Roman"/>
          <w:sz w:val="27"/>
          <w:szCs w:val="27"/>
          <w:lang w:eastAsia="ru-RU"/>
        </w:rPr>
        <w:t>служащим, рабочим – в размере 20% от должностного оклада, тарифной ставки».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</w:rPr>
        <w:t xml:space="preserve">1.2.10. Подпункт 7.5 пункта 7 раздела </w:t>
      </w:r>
      <w:r w:rsidRPr="001E76DA">
        <w:rPr>
          <w:rFonts w:eastAsiaTheme="minorEastAsia" w:cs="Times New Roman"/>
          <w:sz w:val="27"/>
          <w:szCs w:val="27"/>
          <w:lang w:val="en-US"/>
        </w:rPr>
        <w:t>IV</w:t>
      </w:r>
      <w:r w:rsidRPr="001E76DA">
        <w:rPr>
          <w:rFonts w:eastAsiaTheme="minorEastAsia" w:cs="Times New Roman"/>
          <w:sz w:val="27"/>
          <w:szCs w:val="27"/>
        </w:rPr>
        <w:t xml:space="preserve"> изложить в следующей редакции: </w:t>
      </w:r>
    </w:p>
    <w:p w:rsidR="001E76DA" w:rsidRPr="001E76DA" w:rsidRDefault="001E76DA" w:rsidP="001E76DA">
      <w:pPr>
        <w:tabs>
          <w:tab w:val="left" w:pos="142"/>
          <w:tab w:val="left" w:pos="567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«7.5. Премиальная выплата по результатам работы за год начисляется пропорционально отработанному в течение года времени.</w:t>
      </w:r>
    </w:p>
    <w:p w:rsidR="001E76DA" w:rsidRPr="001E76DA" w:rsidRDefault="001E76DA" w:rsidP="001E76DA">
      <w:pPr>
        <w:tabs>
          <w:tab w:val="left" w:pos="142"/>
          <w:tab w:val="left" w:pos="567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В период работы включается время, отработанное в соответствии с табелем учета рабочего времени, время исполнения государственных обязанностей, время нахождения в служебной командировке, время нахождения в ежегодном оплачиваемом отпуске, время простоя не по вине работника.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В расчет премиальной выплаты по результатам работы за год не включаются: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период временной нетрудоспособности;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дни отпуска (отдыха) без сохранения заработной платы;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дополнительный отпуск работника в связи с обучением, за исключением случаев направления его на обучение по инициативе работодателя;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дополнительные выходные дни лицам, осуществляющим уход за детьми-инвалидами;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дополнительные дни отдыха за сдачу крови и ее компонентов».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1.2.11. В пункте 5 таблицы 13 подпункта 3.1 пункта 3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V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слова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«пунктом 9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IV</w:t>
      </w:r>
      <w:r w:rsidRPr="001E76DA">
        <w:rPr>
          <w:rFonts w:eastAsiaTheme="minorEastAsia" w:cs="Times New Roman"/>
          <w:sz w:val="27"/>
          <w:szCs w:val="27"/>
          <w:lang w:eastAsia="ru-RU"/>
        </w:rPr>
        <w:t>» заменить словами «</w:t>
      </w:r>
      <w:r w:rsidRPr="001E76DA">
        <w:rPr>
          <w:rFonts w:eastAsiaTheme="minorEastAsia" w:cs="Times New Roman"/>
          <w:sz w:val="27"/>
          <w:szCs w:val="27"/>
        </w:rPr>
        <w:t xml:space="preserve">подпунктом 3.5 пункта 3 раздела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V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». 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pacing w:val="-4"/>
          <w:sz w:val="27"/>
          <w:szCs w:val="27"/>
          <w:lang w:eastAsia="ru-RU"/>
        </w:rPr>
      </w:pP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 xml:space="preserve">1.2.12. Пункт 3 раздела </w:t>
      </w:r>
      <w:r w:rsidRPr="001E76DA">
        <w:rPr>
          <w:rFonts w:eastAsiaTheme="minorEastAsia" w:cs="Times New Roman"/>
          <w:spacing w:val="-4"/>
          <w:sz w:val="27"/>
          <w:szCs w:val="27"/>
          <w:lang w:val="en-US" w:eastAsia="ru-RU"/>
        </w:rPr>
        <w:t>V</w:t>
      </w:r>
      <w:r w:rsidRPr="001E76DA">
        <w:rPr>
          <w:rFonts w:eastAsiaTheme="minorEastAsia" w:cs="Times New Roman"/>
          <w:spacing w:val="-4"/>
          <w:sz w:val="27"/>
          <w:szCs w:val="27"/>
          <w:lang w:eastAsia="ru-RU"/>
        </w:rPr>
        <w:t xml:space="preserve"> дополнить подпунктом 3.5 следующего содержания:</w:t>
      </w:r>
    </w:p>
    <w:p w:rsid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«3.5. Премиальные </w:t>
      </w:r>
      <w:r w:rsidRPr="001E76DA">
        <w:rPr>
          <w:rFonts w:eastAsiaTheme="minorEastAsia" w:cs="Times New Roman"/>
          <w:sz w:val="27"/>
          <w:szCs w:val="27"/>
        </w:rPr>
        <w:t xml:space="preserve">выплаты за качественное оказание услуг (выполнение </w:t>
      </w:r>
      <w:r>
        <w:rPr>
          <w:rFonts w:eastAsiaTheme="minorEastAsia" w:cs="Times New Roman"/>
          <w:sz w:val="27"/>
          <w:szCs w:val="27"/>
        </w:rPr>
        <w:t xml:space="preserve">               </w:t>
      </w:r>
      <w:r w:rsidRPr="001E76DA">
        <w:rPr>
          <w:rFonts w:eastAsiaTheme="minorEastAsia" w:cs="Times New Roman"/>
          <w:sz w:val="27"/>
          <w:szCs w:val="27"/>
        </w:rPr>
        <w:t>работ) руководителю образовательного учреждения.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Премиальные выплаты </w:t>
      </w:r>
      <w:r w:rsidRPr="001E76DA">
        <w:rPr>
          <w:rFonts w:eastAsiaTheme="minorEastAsia" w:cs="Times New Roman"/>
          <w:sz w:val="27"/>
          <w:szCs w:val="27"/>
        </w:rPr>
        <w:t>за качественное оказание услуг (выполнение работ)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осуществляются с целью поощрения руководителя по результатам оказания муниципальных услуг (выполнения работ) (за качественное организационное обеспе</w:t>
      </w:r>
      <w:r>
        <w:rPr>
          <w:rFonts w:eastAsiaTheme="minorEastAsia" w:cs="Times New Roman"/>
          <w:sz w:val="27"/>
          <w:szCs w:val="27"/>
          <w:lang w:eastAsia="ru-RU"/>
        </w:rPr>
        <w:t xml:space="preserve">-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чение проведени</w:t>
      </w:r>
      <w:r>
        <w:rPr>
          <w:rFonts w:eastAsiaTheme="minorEastAsia" w:cs="Times New Roman"/>
          <w:sz w:val="27"/>
          <w:szCs w:val="27"/>
          <w:lang w:eastAsia="ru-RU"/>
        </w:rPr>
        <w:t>я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государственной итоговой аттестации, за высокие результаты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деятельности, достижения в реализации проектов регионального, федерального уровней и др</w:t>
      </w:r>
      <w:r>
        <w:rPr>
          <w:rFonts w:eastAsiaTheme="minorEastAsia" w:cs="Times New Roman"/>
          <w:sz w:val="27"/>
          <w:szCs w:val="27"/>
          <w:lang w:eastAsia="ru-RU"/>
        </w:rPr>
        <w:t>угое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).  </w:t>
      </w:r>
    </w:p>
    <w:p w:rsidR="001E76DA" w:rsidRPr="001E76DA" w:rsidRDefault="001E76DA" w:rsidP="001E76DA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Премиальные выплаты </w:t>
      </w:r>
      <w:r w:rsidRPr="001E76DA">
        <w:rPr>
          <w:rFonts w:eastAsiaTheme="minorEastAsia" w:cs="Times New Roman"/>
          <w:sz w:val="27"/>
          <w:szCs w:val="27"/>
        </w:rPr>
        <w:t>за качественное оказание услуг (выполнение работ) в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ыплачиваются на основании приказа департамента образования во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1E76DA">
        <w:rPr>
          <w:rFonts w:eastAsiaTheme="minorEastAsia" w:cs="Times New Roman"/>
          <w:sz w:val="27"/>
          <w:szCs w:val="27"/>
          <w:lang w:val="en-US" w:eastAsia="ru-RU"/>
        </w:rPr>
        <w:t>III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кварталах, в абсолютном размере, установленном приказом департамента образования,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1E76DA">
        <w:rPr>
          <w:rFonts w:eastAsiaTheme="minorEastAsia" w:cs="Times New Roman"/>
          <w:sz w:val="27"/>
          <w:szCs w:val="27"/>
          <w:lang w:eastAsia="ru-RU"/>
        </w:rPr>
        <w:t>при наличии экономии средств по фонду оплаты труда.</w:t>
      </w:r>
    </w:p>
    <w:p w:rsidR="001E76DA" w:rsidRPr="001E76DA" w:rsidRDefault="001E76DA" w:rsidP="001E76DA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Размер премиальной выплаты </w:t>
      </w:r>
      <w:r w:rsidRPr="001E76DA">
        <w:rPr>
          <w:rFonts w:eastAsiaTheme="minorEastAsia" w:cs="Times New Roman"/>
          <w:sz w:val="27"/>
          <w:szCs w:val="27"/>
        </w:rPr>
        <w:t>за качественное оказание услуг (выполнение работ)</w:t>
      </w:r>
      <w:r w:rsidRPr="001E76DA">
        <w:rPr>
          <w:rFonts w:eastAsiaTheme="minorEastAsia" w:cs="Times New Roman"/>
          <w:sz w:val="27"/>
          <w:szCs w:val="27"/>
          <w:lang w:eastAsia="ru-RU"/>
        </w:rPr>
        <w:t xml:space="preserve"> снижается руководителю при наличии действующего дисциплинарного взыскания на момент издания приказа: </w:t>
      </w:r>
    </w:p>
    <w:p w:rsidR="001E76DA" w:rsidRPr="001E76DA" w:rsidRDefault="001E76DA" w:rsidP="001E76DA">
      <w:pPr>
        <w:widowControl w:val="0"/>
        <w:tabs>
          <w:tab w:val="left" w:pos="345"/>
        </w:tabs>
        <w:autoSpaceDE w:val="0"/>
        <w:autoSpaceDN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при наличии замечания – на 30%;</w:t>
      </w:r>
    </w:p>
    <w:p w:rsidR="001E76DA" w:rsidRPr="001E76DA" w:rsidRDefault="001E76DA" w:rsidP="001E76DA">
      <w:pPr>
        <w:tabs>
          <w:tab w:val="left" w:pos="142"/>
          <w:tab w:val="left" w:pos="567"/>
        </w:tabs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- при наличии выговора – на 50%».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bCs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</w:rPr>
        <w:t xml:space="preserve">2. </w:t>
      </w:r>
      <w:r w:rsidRPr="001E76DA">
        <w:rPr>
          <w:rFonts w:eastAsiaTheme="minorEastAsia" w:cs="Times New Roman"/>
          <w:bCs/>
          <w:sz w:val="27"/>
          <w:szCs w:val="27"/>
          <w:lang w:eastAsia="ru-RU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01.01.2019.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4. Муниципальному казенному учреждению «Наш город» опубликовать настоящее постановление в средствах массовой информации.   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>5. Контроль за выполнением постановления возложить на заместителя Главы города Пелевина А.Р.</w:t>
      </w:r>
    </w:p>
    <w:p w:rsidR="001E76DA" w:rsidRPr="001E76DA" w:rsidRDefault="001E76DA" w:rsidP="001E76D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ind w:firstLine="567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E76DA" w:rsidRPr="001E76DA" w:rsidRDefault="001E76DA" w:rsidP="001E76DA">
      <w:pPr>
        <w:jc w:val="both"/>
        <w:rPr>
          <w:rFonts w:eastAsiaTheme="minorEastAsia" w:cs="Times New Roman"/>
          <w:sz w:val="27"/>
          <w:szCs w:val="27"/>
          <w:lang w:eastAsia="ru-RU"/>
        </w:rPr>
      </w:pPr>
      <w:r w:rsidRPr="001E76DA">
        <w:rPr>
          <w:rFonts w:eastAsiaTheme="minorEastAsia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1E76DA">
        <w:rPr>
          <w:rFonts w:eastAsiaTheme="minorEastAsia" w:cs="Times New Roman"/>
          <w:sz w:val="27"/>
          <w:szCs w:val="27"/>
          <w:lang w:eastAsia="ru-RU"/>
        </w:rPr>
        <w:t>В.Н. Шувалов</w:t>
      </w:r>
    </w:p>
    <w:p w:rsidR="00226A5C" w:rsidRPr="001E76DA" w:rsidRDefault="00226A5C" w:rsidP="001E76DA">
      <w:pPr>
        <w:rPr>
          <w:sz w:val="27"/>
          <w:szCs w:val="27"/>
        </w:rPr>
      </w:pPr>
    </w:p>
    <w:sectPr w:rsidR="00226A5C" w:rsidRPr="001E76DA" w:rsidSect="001E76DA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53" w:rsidRDefault="00DD2353" w:rsidP="001E76DA">
      <w:r>
        <w:separator/>
      </w:r>
    </w:p>
  </w:endnote>
  <w:endnote w:type="continuationSeparator" w:id="0">
    <w:p w:rsidR="00DD2353" w:rsidRDefault="00DD2353" w:rsidP="001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53" w:rsidRDefault="00DD2353" w:rsidP="001E76DA">
      <w:r>
        <w:separator/>
      </w:r>
    </w:p>
  </w:footnote>
  <w:footnote w:type="continuationSeparator" w:id="0">
    <w:p w:rsidR="00DD2353" w:rsidRDefault="00DD2353" w:rsidP="001E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4437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32E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264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081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081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081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26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30887"/>
    <w:multiLevelType w:val="multilevel"/>
    <w:tmpl w:val="87A2E96E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A"/>
    <w:rsid w:val="00054737"/>
    <w:rsid w:val="00112231"/>
    <w:rsid w:val="001E76DA"/>
    <w:rsid w:val="00226A5C"/>
    <w:rsid w:val="00243839"/>
    <w:rsid w:val="00343049"/>
    <w:rsid w:val="00390811"/>
    <w:rsid w:val="00966084"/>
    <w:rsid w:val="0099264A"/>
    <w:rsid w:val="00DD2353"/>
    <w:rsid w:val="00D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35C9-4A94-4578-B092-D181D59E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E76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76DA"/>
    <w:rPr>
      <w:rFonts w:ascii="Times New Roman" w:hAnsi="Times New Roman"/>
      <w:sz w:val="28"/>
    </w:rPr>
  </w:style>
  <w:style w:type="character" w:styleId="a6">
    <w:name w:val="page number"/>
    <w:basedOn w:val="a0"/>
    <w:rsid w:val="001E76DA"/>
  </w:style>
  <w:style w:type="paragraph" w:styleId="a7">
    <w:name w:val="footer"/>
    <w:basedOn w:val="a"/>
    <w:link w:val="a8"/>
    <w:uiPriority w:val="99"/>
    <w:unhideWhenUsed/>
    <w:rsid w:val="001E7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6DA"/>
    <w:rPr>
      <w:rFonts w:ascii="Times New Roman" w:hAnsi="Times New Roman"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34304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2019-03-26T10:31:00Z</cp:lastPrinted>
  <dcterms:created xsi:type="dcterms:W3CDTF">2019-03-28T04:02:00Z</dcterms:created>
  <dcterms:modified xsi:type="dcterms:W3CDTF">2019-03-28T04:02:00Z</dcterms:modified>
</cp:coreProperties>
</file>