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4F" w:rsidRPr="0074792F" w:rsidRDefault="00926A4F" w:rsidP="00926A4F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74792F">
        <w:rPr>
          <w:b/>
          <w:bCs/>
          <w:sz w:val="30"/>
          <w:szCs w:val="30"/>
        </w:rPr>
        <w:t>ГЛАВА ГОРОДА</w:t>
      </w:r>
    </w:p>
    <w:p w:rsidR="00926A4F" w:rsidRPr="0074792F" w:rsidRDefault="00926A4F" w:rsidP="00926A4F">
      <w:pPr>
        <w:spacing w:line="120" w:lineRule="atLeast"/>
        <w:jc w:val="center"/>
        <w:rPr>
          <w:sz w:val="30"/>
          <w:szCs w:val="30"/>
        </w:rPr>
      </w:pPr>
    </w:p>
    <w:p w:rsidR="00926A4F" w:rsidRDefault="00926A4F" w:rsidP="00926A4F">
      <w:pPr>
        <w:keepNext/>
        <w:spacing w:line="120" w:lineRule="atLeast"/>
        <w:jc w:val="center"/>
        <w:outlineLvl w:val="1"/>
        <w:rPr>
          <w:b/>
          <w:bCs/>
          <w:sz w:val="30"/>
          <w:szCs w:val="30"/>
        </w:rPr>
      </w:pPr>
      <w:r w:rsidRPr="0074792F">
        <w:rPr>
          <w:b/>
          <w:bCs/>
          <w:sz w:val="30"/>
          <w:szCs w:val="30"/>
        </w:rPr>
        <w:t>ПОСТАНОВЛЕНИЕ</w:t>
      </w:r>
    </w:p>
    <w:p w:rsidR="00926A4F" w:rsidRDefault="00926A4F" w:rsidP="00926A4F">
      <w:pPr>
        <w:keepNext/>
        <w:spacing w:line="120" w:lineRule="atLeast"/>
        <w:jc w:val="center"/>
        <w:outlineLvl w:val="1"/>
        <w:rPr>
          <w:b/>
          <w:bCs/>
          <w:sz w:val="30"/>
          <w:szCs w:val="30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26A4F" w:rsidRPr="00497563" w:rsidTr="001E4247">
        <w:trPr>
          <w:jc w:val="center"/>
        </w:trPr>
        <w:tc>
          <w:tcPr>
            <w:tcW w:w="142" w:type="dxa"/>
            <w:noWrap/>
          </w:tcPr>
          <w:p w:rsidR="00926A4F" w:rsidRPr="005541F0" w:rsidRDefault="00926A4F" w:rsidP="001E4247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26A4F" w:rsidRPr="008148BB" w:rsidRDefault="00926A4F" w:rsidP="001E4247">
            <w:pPr>
              <w:spacing w:line="120" w:lineRule="atLeast"/>
              <w:jc w:val="center"/>
            </w:pPr>
            <w:r>
              <w:t>17</w:t>
            </w:r>
          </w:p>
        </w:tc>
        <w:tc>
          <w:tcPr>
            <w:tcW w:w="142" w:type="dxa"/>
            <w:noWrap/>
          </w:tcPr>
          <w:p w:rsidR="00926A4F" w:rsidRPr="005541F0" w:rsidRDefault="00926A4F" w:rsidP="001E4247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6A4F" w:rsidRPr="00497563" w:rsidRDefault="00926A4F" w:rsidP="001E4247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52" w:type="dxa"/>
          </w:tcPr>
          <w:p w:rsidR="00926A4F" w:rsidRPr="005541F0" w:rsidRDefault="00926A4F" w:rsidP="001E4247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26A4F" w:rsidRPr="00EC7D10" w:rsidRDefault="00926A4F" w:rsidP="001E4247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2" w:type="dxa"/>
          </w:tcPr>
          <w:p w:rsidR="00926A4F" w:rsidRPr="005541F0" w:rsidRDefault="00926A4F" w:rsidP="001E4247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</w:tcPr>
          <w:p w:rsidR="00926A4F" w:rsidRPr="005541F0" w:rsidRDefault="00926A4F" w:rsidP="001E4247">
            <w:pPr>
              <w:spacing w:line="120" w:lineRule="atLeast"/>
            </w:pPr>
          </w:p>
        </w:tc>
        <w:tc>
          <w:tcPr>
            <w:tcW w:w="235" w:type="dxa"/>
          </w:tcPr>
          <w:p w:rsidR="00926A4F" w:rsidRPr="005541F0" w:rsidRDefault="00926A4F" w:rsidP="001E4247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26A4F" w:rsidRPr="008148BB" w:rsidRDefault="00926A4F" w:rsidP="00926A4F">
            <w:pPr>
              <w:spacing w:line="120" w:lineRule="atLeast"/>
              <w:jc w:val="center"/>
            </w:pPr>
            <w:r>
              <w:t>12</w:t>
            </w:r>
            <w:r>
              <w:rPr>
                <w:lang w:val="en-US"/>
              </w:rPr>
              <w:t>9</w:t>
            </w:r>
          </w:p>
        </w:tc>
      </w:tr>
    </w:tbl>
    <w:p w:rsidR="00807838" w:rsidRDefault="00807838" w:rsidP="00E52DE5">
      <w:pPr>
        <w:rPr>
          <w:sz w:val="28"/>
        </w:rPr>
      </w:pPr>
    </w:p>
    <w:p w:rsidR="00E52DE5" w:rsidRDefault="00E52DE5" w:rsidP="00E52DE5">
      <w:pPr>
        <w:rPr>
          <w:sz w:val="28"/>
        </w:rPr>
      </w:pPr>
      <w:r>
        <w:rPr>
          <w:sz w:val="28"/>
        </w:rPr>
        <w:t xml:space="preserve">О назначении </w:t>
      </w:r>
    </w:p>
    <w:p w:rsidR="00E52DE5" w:rsidRDefault="00E52DE5" w:rsidP="00E52DE5">
      <w:pPr>
        <w:rPr>
          <w:sz w:val="28"/>
        </w:rPr>
      </w:pPr>
      <w:r>
        <w:rPr>
          <w:sz w:val="28"/>
        </w:rPr>
        <w:t xml:space="preserve">публичных слушаний </w:t>
      </w:r>
    </w:p>
    <w:p w:rsidR="00E52DE5" w:rsidRDefault="00E52DE5" w:rsidP="00E52DE5">
      <w:pPr>
        <w:ind w:right="175"/>
        <w:jc w:val="both"/>
        <w:rPr>
          <w:sz w:val="28"/>
        </w:rPr>
      </w:pPr>
    </w:p>
    <w:p w:rsidR="00E52DE5" w:rsidRDefault="00E52DE5" w:rsidP="00E52DE5">
      <w:pPr>
        <w:ind w:right="175"/>
        <w:jc w:val="both"/>
        <w:rPr>
          <w:sz w:val="28"/>
        </w:rPr>
      </w:pPr>
    </w:p>
    <w:p w:rsidR="00E52DE5" w:rsidRDefault="00E52DE5" w:rsidP="008078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 w:rsidR="00807838">
        <w:rPr>
          <w:rFonts w:ascii="Times New Roman" w:hAnsi="Times New Roman"/>
          <w:sz w:val="28"/>
          <w:szCs w:val="28"/>
        </w:rPr>
        <w:t xml:space="preserve">-                </w:t>
      </w:r>
      <w:r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807838">
        <w:rPr>
          <w:rFonts w:ascii="Times New Roman" w:hAnsi="Times New Roman"/>
          <w:sz w:val="28"/>
          <w:szCs w:val="28"/>
        </w:rPr>
        <w:t xml:space="preserve"> ДГ </w:t>
      </w:r>
      <w:r>
        <w:rPr>
          <w:rFonts w:ascii="Times New Roman" w:hAnsi="Times New Roman"/>
          <w:sz w:val="28"/>
          <w:szCs w:val="28"/>
        </w:rPr>
        <w:t>«Об утверждении Порядка организации и проведения публичных слушаний в городе Сургуте», распоряжением Администрации города от 06.06.2017 № 934 «О подготовке изменений в Правила землепользования и застройки на территории города Сургута», учитывая ходатайство департамента архитектуры и градостроительства:</w:t>
      </w:r>
    </w:p>
    <w:p w:rsidR="00E52DE5" w:rsidRDefault="00E52DE5" w:rsidP="001D0AF5">
      <w:pPr>
        <w:pStyle w:val="a4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09.11.2017 по проекту о внесении </w:t>
      </w:r>
      <w:r w:rsidR="0080783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 w:rsidR="0080783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а именно</w:t>
      </w:r>
      <w:r w:rsidR="004F3D5A">
        <w:rPr>
          <w:rFonts w:ascii="Times New Roman" w:eastAsia="Arial Unicode MS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раздел</w:t>
      </w:r>
      <w:r w:rsidR="001D0AF5" w:rsidRP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 II «Градостроительные регламенты» 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в части дополнения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4F3D5A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стат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ей</w:t>
      </w:r>
      <w:r>
        <w:rPr>
          <w:rFonts w:ascii="Times New Roman" w:eastAsia="Arial Unicode MS" w:hAnsi="Times New Roman"/>
          <w:color w:val="000000"/>
          <w:sz w:val="28"/>
          <w:szCs w:val="28"/>
        </w:rPr>
        <w:t>: 42 «Зо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на университетского городка УГ»,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43 «Зона раз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мещения складских                         объектов П.1»,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5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1 «Зона автомобильных дорог АД»,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52 «Зона размещения 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объектов автомобильного транспорта ИТ.1»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53 «Зона же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лезнодорожного транспорта ИТ.2»,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54 «З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она воздушного транспорта ИТ.3»,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55 «Зона внутр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еннего                   водного транспорта ИТ.4»,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56 «Зона т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рубопроводного транспорта ИТ.5»,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57 «Зона 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многоэтажных автостоянок МА», 59 «Зона энергетики ЭН», 60 «Зона связи СВ», 61 «Зона городских лесов Р.1»,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62 «Зона озеленённых тер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риторий                  общего пользования Р.2»,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65 «Зона обеспеч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ения обороны и безопасности ОБ»,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66 «Зона режимных территорий РО»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67 «Зо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на ритуального назначения СИ.1»,</w:t>
      </w:r>
      <w:r w:rsidRPr="00807838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 xml:space="preserve"> 68 «Зона объектов размещения отходов производства и потребления СИ.2»</w:t>
      </w:r>
      <w:r w:rsidR="001D0AF5">
        <w:rPr>
          <w:rFonts w:ascii="Times New Roman" w:eastAsia="Arial Unicode MS" w:hAnsi="Times New Roman"/>
          <w:color w:val="000000"/>
          <w:spacing w:val="-10"/>
          <w:sz w:val="28"/>
          <w:szCs w:val="28"/>
        </w:rPr>
        <w:t>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69 «Зона с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кладирования снежных масс СИ.3»,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70 «Зона се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>льскохозяйственных угодий СХ.1»,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74 «Зона приютов для животных ПЖ»</w:t>
      </w:r>
      <w:r w:rsidR="001D0AF5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 основным видом разрешенного использования – коммунальное обслуживание в целях исключения неправомерного нахождения объект</w:t>
      </w:r>
      <w:r w:rsidR="00807838">
        <w:rPr>
          <w:rFonts w:ascii="Times New Roman" w:eastAsia="Arial Unicode MS" w:hAnsi="Times New Roman"/>
          <w:sz w:val="28"/>
          <w:szCs w:val="28"/>
        </w:rPr>
        <w:t xml:space="preserve">ов коммунальной инфраструктуры </w:t>
      </w:r>
      <w:r>
        <w:rPr>
          <w:rFonts w:ascii="Times New Roman" w:eastAsia="Arial Unicode MS" w:hAnsi="Times New Roman"/>
          <w:sz w:val="28"/>
          <w:szCs w:val="28"/>
        </w:rPr>
        <w:t>в данных зонах.</w:t>
      </w:r>
    </w:p>
    <w:p w:rsidR="00E52DE5" w:rsidRDefault="00E52DE5" w:rsidP="0080783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</w:t>
      </w:r>
      <w:r w:rsidR="00B47844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 xml:space="preserve">ом этаже административного здания по адресу: город Сургут, улица </w:t>
      </w:r>
      <w:r w:rsidR="00B47844">
        <w:rPr>
          <w:rFonts w:ascii="Times New Roman" w:hAnsi="Times New Roman"/>
          <w:sz w:val="28"/>
          <w:szCs w:val="28"/>
        </w:rPr>
        <w:t>Восход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B478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время начала публичных слушаний ‒ 18.00. </w:t>
      </w:r>
    </w:p>
    <w:p w:rsidR="00E52DE5" w:rsidRDefault="00E52DE5" w:rsidP="008078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80783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E52DE5" w:rsidRDefault="00E52DE5" w:rsidP="008078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07838"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E52DE5" w:rsidRDefault="00E52DE5" w:rsidP="00807838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="00807838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 w:rsidR="0080783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>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E52DE5" w:rsidRDefault="00E52DE5" w:rsidP="008078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 w:rsidR="00807838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о назначении публичных слушаний в средствах массовой информации и разместить на официальном</w:t>
      </w:r>
      <w:r w:rsidR="00807838">
        <w:rPr>
          <w:rFonts w:ascii="Times New Roman" w:hAnsi="Times New Roman"/>
          <w:sz w:val="28"/>
          <w:szCs w:val="28"/>
        </w:rPr>
        <w:t xml:space="preserve"> портале Администрации города </w:t>
      </w:r>
      <w:r>
        <w:rPr>
          <w:rFonts w:ascii="Times New Roman" w:hAnsi="Times New Roman"/>
          <w:sz w:val="28"/>
          <w:szCs w:val="28"/>
        </w:rPr>
        <w:t xml:space="preserve">в срок не позднее </w:t>
      </w:r>
      <w:r w:rsidR="0080783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E52DE5" w:rsidRDefault="00E52DE5" w:rsidP="00807838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E52DE5" w:rsidRDefault="00E52DE5" w:rsidP="0080783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DE5" w:rsidRDefault="00E52DE5" w:rsidP="00E52D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2DE5" w:rsidRDefault="00E52DE5" w:rsidP="00E52DE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7DAB" w:rsidRDefault="00E52DE5" w:rsidP="00807838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</w:t>
      </w:r>
      <w:r w:rsidR="0080783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В.Н. Шувалов</w:t>
      </w:r>
    </w:p>
    <w:sectPr w:rsidR="009D7DAB" w:rsidSect="008078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5"/>
    <w:rsid w:val="001D0AF5"/>
    <w:rsid w:val="004844DF"/>
    <w:rsid w:val="004F3D5A"/>
    <w:rsid w:val="00721381"/>
    <w:rsid w:val="00807838"/>
    <w:rsid w:val="00926A4F"/>
    <w:rsid w:val="009D7DAB"/>
    <w:rsid w:val="00B47844"/>
    <w:rsid w:val="00C01CF0"/>
    <w:rsid w:val="00E22E94"/>
    <w:rsid w:val="00E52DE5"/>
    <w:rsid w:val="00E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55791-FC86-44BB-8476-329AAF1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52DE5"/>
    <w:rPr>
      <w:rFonts w:ascii="Calibri" w:hAnsi="Calibri"/>
    </w:rPr>
  </w:style>
  <w:style w:type="paragraph" w:styleId="a4">
    <w:name w:val="No Spacing"/>
    <w:link w:val="a3"/>
    <w:qFormat/>
    <w:rsid w:val="00E52DE5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rsid w:val="00926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2017-08-18T06:58:00Z</cp:lastPrinted>
  <dcterms:created xsi:type="dcterms:W3CDTF">2017-08-24T06:57:00Z</dcterms:created>
  <dcterms:modified xsi:type="dcterms:W3CDTF">2017-08-24T06:57:00Z</dcterms:modified>
</cp:coreProperties>
</file>