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C01D3" w:rsidTr="00934891">
        <w:trPr>
          <w:jc w:val="center"/>
        </w:trPr>
        <w:tc>
          <w:tcPr>
            <w:tcW w:w="142" w:type="dxa"/>
            <w:noWrap/>
          </w:tcPr>
          <w:p w:rsidR="003C01D3" w:rsidRPr="005541F0" w:rsidRDefault="003C01D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C01D3" w:rsidRPr="00EC7D10" w:rsidRDefault="00F31BA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3C01D3" w:rsidRPr="005541F0" w:rsidRDefault="003C0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01D3" w:rsidRPr="00F31BA7" w:rsidRDefault="00F31BA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C01D3" w:rsidRPr="005541F0" w:rsidRDefault="003C0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C01D3" w:rsidRPr="00EC7D10" w:rsidRDefault="00F31BA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C01D3" w:rsidRPr="005541F0" w:rsidRDefault="003C0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C01D3" w:rsidRPr="005541F0" w:rsidRDefault="003C01D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C01D3" w:rsidRPr="005541F0" w:rsidRDefault="003C01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C01D3" w:rsidRPr="00F31BA7" w:rsidRDefault="00F31BA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1939</w:t>
            </w:r>
          </w:p>
        </w:tc>
      </w:tr>
    </w:tbl>
    <w:p w:rsidR="003C01D3" w:rsidRPr="00EE45CB" w:rsidRDefault="003C01D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C01D3" w:rsidRPr="00C46D9A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C01D3" w:rsidRPr="005541F0" w:rsidRDefault="003C01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C01D3" w:rsidRPr="00C46D9A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C01D3" w:rsidRPr="005541F0" w:rsidRDefault="003C01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C01D3" w:rsidRPr="00993253" w:rsidRDefault="003C01D3" w:rsidP="003C01D3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3C01D3" w:rsidRPr="00993253" w:rsidRDefault="003C01D3" w:rsidP="003C01D3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Администрации города от 22.08.2013 </w:t>
      </w:r>
    </w:p>
    <w:p w:rsidR="003C01D3" w:rsidRPr="00993253" w:rsidRDefault="003C01D3" w:rsidP="003C01D3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№ 2984 «О разработке муниципальной </w:t>
      </w:r>
    </w:p>
    <w:p w:rsidR="003C01D3" w:rsidRPr="00993253" w:rsidRDefault="003C01D3" w:rsidP="003C01D3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программы «Развитие образования </w:t>
      </w:r>
    </w:p>
    <w:p w:rsidR="003C01D3" w:rsidRPr="00993253" w:rsidRDefault="003C01D3" w:rsidP="003C01D3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города Сургута на 2014 – 2030 годы» </w:t>
      </w:r>
    </w:p>
    <w:p w:rsidR="003C01D3" w:rsidRPr="00993253" w:rsidRDefault="003C01D3" w:rsidP="003C01D3">
      <w:pPr>
        <w:jc w:val="both"/>
        <w:rPr>
          <w:rFonts w:eastAsia="Times New Roman" w:cs="Times New Roman"/>
          <w:szCs w:val="28"/>
          <w:lang w:eastAsia="ru-RU"/>
        </w:rPr>
      </w:pPr>
    </w:p>
    <w:p w:rsidR="003C01D3" w:rsidRPr="00993253" w:rsidRDefault="003C01D3" w:rsidP="003C01D3">
      <w:pPr>
        <w:jc w:val="both"/>
        <w:rPr>
          <w:rFonts w:eastAsia="Times New Roman" w:cs="Times New Roman"/>
          <w:szCs w:val="28"/>
          <w:lang w:eastAsia="ru-RU"/>
        </w:rPr>
      </w:pPr>
    </w:p>
    <w:p w:rsidR="003C01D3" w:rsidRPr="00993253" w:rsidRDefault="003C01D3" w:rsidP="009932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17.07.2013                 № 5159 «Об утверждении порядка принятия решений о разработке, формиро-          вания и реализации муниципальных программ городского округа город Сургут»:</w:t>
      </w:r>
    </w:p>
    <w:p w:rsidR="003C01D3" w:rsidRPr="00993253" w:rsidRDefault="003C01D3" w:rsidP="009932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22.08.2013 № 2984 </w:t>
      </w:r>
      <w:r w:rsidR="00993253">
        <w:rPr>
          <w:rFonts w:eastAsia="Times New Roman" w:cs="Times New Roman"/>
          <w:szCs w:val="28"/>
          <w:lang w:eastAsia="ru-RU"/>
        </w:rPr>
        <w:t xml:space="preserve">                  </w:t>
      </w:r>
      <w:r w:rsidRPr="00993253">
        <w:rPr>
          <w:rFonts w:eastAsia="Times New Roman" w:cs="Times New Roman"/>
          <w:szCs w:val="28"/>
          <w:lang w:eastAsia="ru-RU"/>
        </w:rPr>
        <w:t xml:space="preserve">«О разработке муниципальной программы «Развитие образования города </w:t>
      </w:r>
      <w:r w:rsidR="00993253">
        <w:rPr>
          <w:rFonts w:eastAsia="Times New Roman" w:cs="Times New Roman"/>
          <w:szCs w:val="28"/>
          <w:lang w:eastAsia="ru-RU"/>
        </w:rPr>
        <w:t xml:space="preserve">                 </w:t>
      </w:r>
      <w:r w:rsidRPr="00993253">
        <w:rPr>
          <w:rFonts w:eastAsia="Times New Roman" w:cs="Times New Roman"/>
          <w:szCs w:val="28"/>
          <w:lang w:eastAsia="ru-RU"/>
        </w:rPr>
        <w:t>Сургута на 2014 – 2030 годы» (с изменениями от 08.11.2013 № 3872, 20.06.2014 № 1721, 14.10.2014 № 3254, 26.06.2015 № 1665, 14.09.2015 № 2234, 21.08.2017  № 1424) изменения, изложив приложения 1, 2 к распоряжению в новой редакции согласно приложениям 1, 2 к настоящему распоряжению соответственно.</w:t>
      </w:r>
    </w:p>
    <w:p w:rsidR="003C01D3" w:rsidRDefault="000E7FF7" w:rsidP="009932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3C01D3" w:rsidRPr="00993253">
        <w:rPr>
          <w:rFonts w:eastAsia="Times New Roman" w:cs="Times New Roman"/>
          <w:szCs w:val="28"/>
          <w:lang w:eastAsia="ru-RU"/>
        </w:rPr>
        <w:t xml:space="preserve">. Управлению по связям с общественностью и средствами массовой              информации опубликовать настоящее </w:t>
      </w:r>
      <w:r w:rsidR="00993253">
        <w:rPr>
          <w:rFonts w:eastAsia="Times New Roman" w:cs="Times New Roman"/>
          <w:szCs w:val="28"/>
          <w:lang w:eastAsia="ru-RU"/>
        </w:rPr>
        <w:t xml:space="preserve">распоряжение </w:t>
      </w:r>
      <w:r w:rsidR="003C01D3" w:rsidRPr="00993253">
        <w:rPr>
          <w:rFonts w:eastAsia="Times New Roman" w:cs="Times New Roman"/>
          <w:szCs w:val="28"/>
          <w:lang w:eastAsia="ru-RU"/>
        </w:rPr>
        <w:t>в средствах массовой                 информации и разместить на официальном портале Администрации города.</w:t>
      </w:r>
    </w:p>
    <w:p w:rsidR="000E7FF7" w:rsidRPr="00993253" w:rsidRDefault="000E7FF7" w:rsidP="000E7F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993253">
        <w:rPr>
          <w:rFonts w:eastAsia="Times New Roman" w:cs="Times New Roman"/>
          <w:szCs w:val="28"/>
          <w:lang w:eastAsia="ru-RU"/>
        </w:rPr>
        <w:t>Настоящее распоряжение вступает в силу с 01.01.2018.</w:t>
      </w:r>
    </w:p>
    <w:p w:rsidR="003C01D3" w:rsidRPr="00993253" w:rsidRDefault="003C01D3" w:rsidP="0099325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 xml:space="preserve">4. Контроль за выполнением </w:t>
      </w:r>
      <w:r w:rsidR="00993253">
        <w:rPr>
          <w:rFonts w:eastAsia="Times New Roman" w:cs="Times New Roman"/>
          <w:szCs w:val="28"/>
          <w:lang w:eastAsia="ru-RU"/>
        </w:rPr>
        <w:t>распоряжения</w:t>
      </w:r>
      <w:r w:rsidRPr="00993253">
        <w:rPr>
          <w:rFonts w:eastAsia="Times New Roman" w:cs="Times New Roman"/>
          <w:szCs w:val="28"/>
          <w:lang w:eastAsia="ru-RU"/>
        </w:rPr>
        <w:t xml:space="preserve"> возложить на заместителя главы Администрации города Пелевина А.Р.</w:t>
      </w:r>
    </w:p>
    <w:p w:rsidR="003C01D3" w:rsidRPr="00993253" w:rsidRDefault="003C01D3" w:rsidP="0099325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253" w:rsidRPr="00993253" w:rsidRDefault="00993253" w:rsidP="0099325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01D3" w:rsidRPr="00993253" w:rsidRDefault="003C01D3" w:rsidP="0099325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01D3" w:rsidRPr="00993253" w:rsidRDefault="003C01D3" w:rsidP="003C01D3">
      <w:pPr>
        <w:rPr>
          <w:rFonts w:eastAsia="Times New Roman" w:cs="Times New Roman"/>
          <w:szCs w:val="28"/>
          <w:lang w:eastAsia="ru-RU"/>
        </w:rPr>
      </w:pPr>
      <w:r w:rsidRPr="00993253">
        <w:rPr>
          <w:rFonts w:eastAsia="Times New Roman" w:cs="Times New Roman"/>
          <w:szCs w:val="28"/>
          <w:lang w:eastAsia="ru-RU"/>
        </w:rPr>
        <w:t>Глава</w:t>
      </w:r>
      <w:r w:rsidR="00993253" w:rsidRPr="00993253">
        <w:rPr>
          <w:rFonts w:eastAsia="Times New Roman" w:cs="Times New Roman"/>
          <w:szCs w:val="28"/>
          <w:lang w:eastAsia="ru-RU"/>
        </w:rPr>
        <w:t xml:space="preserve"> </w:t>
      </w:r>
      <w:r w:rsidRPr="00993253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</w:t>
      </w:r>
      <w:r w:rsidR="00993253">
        <w:rPr>
          <w:rFonts w:eastAsia="Times New Roman" w:cs="Times New Roman"/>
          <w:szCs w:val="28"/>
          <w:lang w:eastAsia="ru-RU"/>
        </w:rPr>
        <w:t xml:space="preserve">     </w:t>
      </w:r>
      <w:r w:rsidRPr="00993253">
        <w:rPr>
          <w:rFonts w:eastAsia="Times New Roman" w:cs="Times New Roman"/>
          <w:szCs w:val="28"/>
          <w:lang w:eastAsia="ru-RU"/>
        </w:rPr>
        <w:t xml:space="preserve">                        В.Н. Шувалов</w:t>
      </w:r>
    </w:p>
    <w:p w:rsidR="003C01D3" w:rsidRPr="00993253" w:rsidRDefault="003C01D3" w:rsidP="003C01D3">
      <w:pPr>
        <w:rPr>
          <w:rFonts w:eastAsia="Times New Roman" w:cs="Times New Roman"/>
          <w:szCs w:val="28"/>
          <w:lang w:eastAsia="ru-RU"/>
        </w:rPr>
      </w:pPr>
    </w:p>
    <w:p w:rsidR="003C01D3" w:rsidRPr="00993253" w:rsidRDefault="003C01D3" w:rsidP="003C01D3">
      <w:pPr>
        <w:rPr>
          <w:rFonts w:eastAsia="Times New Roman" w:cs="Times New Roman"/>
          <w:szCs w:val="28"/>
          <w:lang w:eastAsia="ru-RU"/>
        </w:rPr>
      </w:pPr>
    </w:p>
    <w:p w:rsidR="003C01D3" w:rsidRDefault="003C01D3" w:rsidP="003C01D3">
      <w:pPr>
        <w:rPr>
          <w:rFonts w:eastAsia="Times New Roman" w:cs="Times New Roman"/>
          <w:szCs w:val="28"/>
          <w:lang w:eastAsia="ru-RU"/>
        </w:rPr>
      </w:pPr>
    </w:p>
    <w:p w:rsidR="003C01D3" w:rsidRDefault="003C01D3" w:rsidP="003C01D3">
      <w:pPr>
        <w:rPr>
          <w:rFonts w:eastAsia="Times New Roman" w:cs="Times New Roman"/>
          <w:szCs w:val="28"/>
          <w:lang w:eastAsia="ru-RU"/>
        </w:rPr>
      </w:pPr>
    </w:p>
    <w:p w:rsidR="003C01D3" w:rsidRDefault="003C01D3" w:rsidP="003C01D3">
      <w:pPr>
        <w:rPr>
          <w:rFonts w:eastAsia="Times New Roman" w:cs="Times New Roman"/>
          <w:szCs w:val="28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993253">
      <w:pPr>
        <w:ind w:left="595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Приложение 1</w:t>
      </w:r>
    </w:p>
    <w:p w:rsidR="003C01D3" w:rsidRDefault="003C01D3" w:rsidP="00993253">
      <w:pPr>
        <w:ind w:left="595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распоряжению</w:t>
      </w:r>
    </w:p>
    <w:p w:rsidR="003C01D3" w:rsidRDefault="003C01D3" w:rsidP="00993253">
      <w:pPr>
        <w:ind w:left="595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3C01D3" w:rsidRDefault="003C01D3" w:rsidP="00993253">
      <w:pPr>
        <w:ind w:left="595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___________ № ____</w:t>
      </w:r>
      <w:r w:rsidR="00993253">
        <w:rPr>
          <w:rFonts w:eastAsia="Times New Roman" w:cs="Times New Roman"/>
          <w:szCs w:val="24"/>
          <w:lang w:eastAsia="ru-RU"/>
        </w:rPr>
        <w:t>____</w:t>
      </w:r>
      <w:r>
        <w:rPr>
          <w:rFonts w:eastAsia="Times New Roman" w:cs="Times New Roman"/>
          <w:szCs w:val="24"/>
          <w:lang w:eastAsia="ru-RU"/>
        </w:rPr>
        <w:t>__</w:t>
      </w:r>
    </w:p>
    <w:p w:rsidR="003C01D3" w:rsidRDefault="003C01D3" w:rsidP="003C01D3">
      <w:pPr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</w:p>
    <w:p w:rsidR="0099325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рабочей группы по разработке проекта муниципальной программы </w:t>
      </w:r>
    </w:p>
    <w:p w:rsidR="003C01D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«Развитие образования города Сургута на 2014 – 2030 годы»</w:t>
      </w:r>
    </w:p>
    <w:p w:rsidR="003C01D3" w:rsidRDefault="003C01D3" w:rsidP="003C01D3">
      <w:pPr>
        <w:tabs>
          <w:tab w:val="left" w:pos="709"/>
          <w:tab w:val="left" w:pos="1418"/>
        </w:tabs>
        <w:ind w:right="169" w:firstLine="7371"/>
        <w:rPr>
          <w:rFonts w:eastAsia="Times New Roman" w:cs="Times New Roman"/>
          <w:szCs w:val="28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5810"/>
      </w:tblGrid>
      <w:tr w:rsidR="003C01D3" w:rsidTr="003C01D3">
        <w:trPr>
          <w:trHeight w:val="814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3C01D3" w:rsidRDefault="003C01D3">
            <w:pPr>
              <w:tabs>
                <w:tab w:val="left" w:pos="709"/>
                <w:tab w:val="left" w:pos="1418"/>
                <w:tab w:val="left" w:pos="3011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руководитель рабочей группы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699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образования, заместитель руководителя рабочей группы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411"/>
        </w:trPr>
        <w:tc>
          <w:tcPr>
            <w:tcW w:w="3544" w:type="dxa"/>
            <w:hideMark/>
          </w:tcPr>
          <w:p w:rsidR="00993253" w:rsidRPr="00993253" w:rsidRDefault="00993253">
            <w:pPr>
              <w:tabs>
                <w:tab w:val="left" w:pos="709"/>
                <w:tab w:val="left" w:pos="1418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3C01D3" w:rsidRDefault="003C01D3">
            <w:pPr>
              <w:tabs>
                <w:tab w:val="left" w:pos="709"/>
                <w:tab w:val="left" w:pos="1418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01D3" w:rsidTr="003C01D3">
        <w:trPr>
          <w:trHeight w:val="701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Карпеткин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Константин Юрьевич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городского хозяйства </w:t>
            </w:r>
          </w:p>
        </w:tc>
      </w:tr>
      <w:tr w:rsidR="003C01D3" w:rsidTr="003C01D3">
        <w:trPr>
          <w:trHeight w:val="697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Замятина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Павловна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1118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планирования, анализа и прогнозирования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992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Коркунова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воспитания и дополни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тельного образования департамента образования </w:t>
            </w:r>
          </w:p>
          <w:p w:rsidR="00993253" w:rsidRPr="00993253" w:rsidRDefault="00993253" w:rsidP="00993253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1687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Рычапова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Фанитовна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993253" w:rsidRDefault="003C01D3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экономического планирования, прогнозирования </w:t>
            </w:r>
          </w:p>
          <w:p w:rsidR="00993253" w:rsidRDefault="003C01D3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муниципальных программ управления экономического планирования, анализа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прогнозирования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1116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Соловей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Лилия Григорьевна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мониторинга и оценки качества образовательных услуг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849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Харёва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Михайловна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организации каникулярного отдыха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699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Бурик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Витальевна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экономического планирования, прогнозирования и муниципальных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программ управления экономического планирования, анализа и прогнозирования департамента образования 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1039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Роднова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Лариса Ивановна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  <w:tab w:val="left" w:pos="5987"/>
              </w:tabs>
              <w:suppressAutoHyphens/>
              <w:ind w:left="-6" w:right="17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специалист-эксперт отдела комплексной застройки территорий города департамента архитектуры и градостроительства</w:t>
            </w:r>
          </w:p>
          <w:p w:rsidR="00993253" w:rsidRPr="00993253" w:rsidRDefault="00993253">
            <w:pPr>
              <w:tabs>
                <w:tab w:val="left" w:pos="709"/>
                <w:tab w:val="left" w:pos="1418"/>
                <w:tab w:val="left" w:pos="5987"/>
              </w:tabs>
              <w:suppressAutoHyphens/>
              <w:ind w:left="-6" w:right="17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C01D3" w:rsidTr="003C01D3">
        <w:trPr>
          <w:trHeight w:val="699"/>
        </w:trPr>
        <w:tc>
          <w:tcPr>
            <w:tcW w:w="3544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Кадырова </w:t>
            </w:r>
          </w:p>
          <w:p w:rsidR="003C01D3" w:rsidRDefault="003C01D3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6" w:type="dxa"/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suppressAutoHyphens/>
              <w:ind w:right="34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  <w:hideMark/>
          </w:tcPr>
          <w:p w:rsidR="003C01D3" w:rsidRDefault="003C01D3">
            <w:pPr>
              <w:tabs>
                <w:tab w:val="left" w:pos="709"/>
                <w:tab w:val="left" w:pos="1418"/>
              </w:tabs>
              <w:suppressAutoHyphens/>
              <w:ind w:left="-6" w:right="17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«Управление дошкольными образовательными учреждениями»</w:t>
            </w:r>
          </w:p>
        </w:tc>
      </w:tr>
    </w:tbl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3C01D3" w:rsidRDefault="003C01D3" w:rsidP="003C01D3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Приложение 2 </w:t>
      </w: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распоряжению</w:t>
      </w: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3C01D3" w:rsidRDefault="003C01D3" w:rsidP="003C01D3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________</w:t>
      </w:r>
      <w:r w:rsidR="00993253">
        <w:rPr>
          <w:rFonts w:eastAsia="Times New Roman" w:cs="Times New Roman"/>
          <w:szCs w:val="24"/>
          <w:lang w:eastAsia="ru-RU"/>
        </w:rPr>
        <w:t>_</w:t>
      </w:r>
      <w:r>
        <w:rPr>
          <w:rFonts w:eastAsia="Times New Roman" w:cs="Times New Roman"/>
          <w:szCs w:val="24"/>
          <w:lang w:eastAsia="ru-RU"/>
        </w:rPr>
        <w:t>___ № __________</w:t>
      </w:r>
    </w:p>
    <w:p w:rsidR="003C01D3" w:rsidRDefault="003C01D3" w:rsidP="003C01D3">
      <w:pPr>
        <w:jc w:val="both"/>
        <w:rPr>
          <w:rFonts w:eastAsia="Times New Roman" w:cs="Times New Roman"/>
          <w:szCs w:val="24"/>
          <w:lang w:eastAsia="ru-RU"/>
        </w:rPr>
      </w:pPr>
    </w:p>
    <w:p w:rsidR="00993253" w:rsidRDefault="00993253" w:rsidP="003C01D3">
      <w:pPr>
        <w:jc w:val="both"/>
        <w:rPr>
          <w:rFonts w:eastAsia="Times New Roman" w:cs="Times New Roman"/>
          <w:szCs w:val="24"/>
          <w:lang w:eastAsia="ru-RU"/>
        </w:rPr>
      </w:pPr>
    </w:p>
    <w:p w:rsidR="0099325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Паспорт </w:t>
      </w:r>
    </w:p>
    <w:p w:rsidR="003C01D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</w:p>
    <w:p w:rsidR="003C01D3" w:rsidRDefault="003C01D3" w:rsidP="003C01D3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349"/>
      </w:tblGrid>
      <w:tr w:rsidR="003C01D3" w:rsidTr="003C01D3">
        <w:trPr>
          <w:trHeight w:val="5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tabs>
                <w:tab w:val="left" w:pos="709"/>
                <w:tab w:val="left" w:pos="1418"/>
              </w:tabs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муниципальная программа «Развитие образования города Сургута на 2014 – 2030 годы»</w:t>
            </w:r>
          </w:p>
        </w:tc>
      </w:tr>
      <w:tr w:rsidR="003C01D3" w:rsidTr="003C01D3">
        <w:trPr>
          <w:trHeight w:val="28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Бюджетный кодекс Российской Федерации;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21.12.1996 № 159-ФЗ                       «О дополнительных гарантиях по социальной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поддержке детей-сирот и детей, оставшихся                        без попечения родителей»;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06.10.2003 № 131-ФЗ                    «Об общих принципах организации местного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самоуправления в Российской Федерации»;                            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29.12.2012 № 273-ФЗ                     «Об образовании в Российской Федерации»; 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от 24.11.1995 № 181-ФЗ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«О социальной защите инвалидов в Российской Федерации»;                        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          от 07.05.2012 № 597 «О мероприятиях по реали-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зации государственной социальной политики»;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Указ Президента Российской Федерации                              от 07.05.2012 № 599 «О мерах по реализации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государственной политики в области образования                    и науки»;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Указ Президента Российской Федерации                         от 01.06.2012 № 761 «О национальной стратегии действий в интересах детей на 2012 – 2017 годы»;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Закон Ханты-Мансийского автономного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округа – Югры от 08.07.2005 № 62-оз «О наде-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лении органов местного самоуправления муници-пальных образований отдельными государствен-ными полномочиями Ханты-Мансийского автономного округа – Югры»; 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Закон Ханты-Мансийского автономного                        округа – Югры от 30.01.2016 № 4-оз «О регули-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ровании отдельных отношений в сфере органи-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зации обеспечения питанием обучающихся                    в государственных образовательных органи-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зациях, частных профессиональных образова-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тельных организациях, муниципальных общеобразовательных организациях, частных общеобразовательных организациях, расположенных 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Ханты-Мансийском автономном округе – Югре»;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округа </w:t>
            </w:r>
            <w:r w:rsidR="00993253">
              <w:rPr>
                <w:rFonts w:eastAsia="Calibri" w:cs="Times New Roman"/>
                <w:szCs w:val="28"/>
                <w:lang w:eastAsia="ru-RU"/>
              </w:rPr>
              <w:t>–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Югры от 21.02.2007 № 2-оз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«О компен-сации части родительской платы за присмотр 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уход за детьми в организациях, осуществля-ющих образовательную деятельность по реали-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зации образовательной программы дошкольного образования»</w:t>
            </w:r>
            <w:r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   округа </w:t>
            </w:r>
            <w:r w:rsidR="00993253">
              <w:rPr>
                <w:rFonts w:eastAsia="Calibri" w:cs="Times New Roman"/>
                <w:szCs w:val="28"/>
                <w:lang w:eastAsia="ru-RU"/>
              </w:rPr>
              <w:t>–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Югры от 09.06.2009 № 86-оз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«О дополни-тельных гарантиях и дополнительных мерах 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социальной поддержки детей-сирот и детей, 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оставшихся без попечения родителей, лиц 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из числа детей-сирот и детей, оставшихся 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без попечения родителей, усыновителей,</w:t>
            </w:r>
          </w:p>
          <w:p w:rsidR="00993253" w:rsidRDefault="003C01D3" w:rsidP="00993253">
            <w:pPr>
              <w:tabs>
                <w:tab w:val="left" w:pos="113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приемных родителей в Ханты-Мансийском </w:t>
            </w:r>
          </w:p>
          <w:p w:rsidR="003C01D3" w:rsidRDefault="003C01D3" w:rsidP="00993253">
            <w:pPr>
              <w:tabs>
                <w:tab w:val="left" w:pos="1134"/>
              </w:tabs>
              <w:contextualSpacing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автономном округе – Югре»; </w:t>
            </w: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                               </w:t>
            </w:r>
          </w:p>
          <w:p w:rsidR="003C01D3" w:rsidRDefault="003C01D3" w:rsidP="00993253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   округа – Югры от 01.07.2013 № 68-оз «Об образо-вании в Ханты-Мансийском автономном                округе – Югре»;               </w:t>
            </w:r>
          </w:p>
          <w:p w:rsidR="003C01D3" w:rsidRDefault="003C01D3" w:rsidP="00993253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Закон Ханты-Мансийского автономного                         округа </w:t>
            </w:r>
            <w:r w:rsidR="00993253">
              <w:rPr>
                <w:rFonts w:eastAsia="Calibri" w:cs="Times New Roman"/>
                <w:szCs w:val="28"/>
                <w:lang w:eastAsia="ru-RU"/>
              </w:rPr>
              <w:t>–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Югры от 11.12.2013 № 123-оз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чение государственных гарантий реализации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прав на получение общедоступного и бесплатного дошкольного образования в муниципальных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дошкольных образовательных организациях, 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</w:p>
          <w:p w:rsidR="003C01D3" w:rsidRDefault="003C01D3" w:rsidP="00993253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общеобразовательных организациях»;</w:t>
            </w:r>
          </w:p>
          <w:p w:rsidR="00993253" w:rsidRDefault="003C01D3" w:rsidP="00993253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распоряжение Правительства Ханты-Мансийского автономного округа – Югры от 09.02.2013 </w:t>
            </w:r>
          </w:p>
          <w:p w:rsidR="003C01D3" w:rsidRDefault="003C01D3" w:rsidP="00993253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№ 45-рп «О плане мероприятий («дорожной карте») «Изменения в отраслях социальной сферы, направленные на повышение эффективности образования и науки в Ханты-Мансийском автономном округе – Югре»;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распоряжение Правительства Ханты-Мансийского автономного округа – Югры 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 19.02.2010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91-рп «О Стратегии развития образования Ханты-Мансийского автономного округа – Югры до 2020 года»;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решение Думы города от 08.06.2015 № 718-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ДГ             «О Стратегии социально-экономического развития муниципального образования городской округ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 Сургут на период до 2030 года»;</w:t>
            </w:r>
          </w:p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3C01D3" w:rsidRDefault="003C01D3" w:rsidP="00993253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17.07.2013 № 5159 «Об утверждении порядка принятия решений о разработке, формирования              и реализации муниципальных программ городского округа город Сургут»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;</w:t>
            </w:r>
          </w:p>
          <w:p w:rsidR="00993253" w:rsidRDefault="003C01D3" w:rsidP="00993253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- распоряжение Администрации города                     от 07.06.2013 № 1967 «Об утверждении плана </w:t>
            </w:r>
          </w:p>
          <w:p w:rsidR="00993253" w:rsidRDefault="003C01D3" w:rsidP="00993253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мероприятий «Изменения в отраслях социальной сферы, направленные на повышение эффектив-</w:t>
            </w:r>
          </w:p>
          <w:p w:rsidR="003C01D3" w:rsidRDefault="003C01D3" w:rsidP="00993253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ности образования в городе Сургуте»</w:t>
            </w:r>
          </w:p>
        </w:tc>
      </w:tr>
      <w:tr w:rsidR="003C01D3" w:rsidTr="003C01D3">
        <w:trPr>
          <w:trHeight w:val="42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Куратор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города, 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курирующий социальную сферу </w:t>
            </w:r>
          </w:p>
        </w:tc>
      </w:tr>
      <w:tr w:rsidR="003C01D3" w:rsidTr="003C01D3">
        <w:trPr>
          <w:trHeight w:val="69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администратора и соадминистраторов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99325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3C01D3">
              <w:rPr>
                <w:rFonts w:eastAsia="Times New Roman" w:cs="Times New Roman"/>
                <w:szCs w:val="28"/>
                <w:lang w:eastAsia="ru-RU"/>
              </w:rPr>
              <w:t xml:space="preserve">дминистратор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3C01D3">
              <w:rPr>
                <w:rFonts w:eastAsia="Times New Roman" w:cs="Times New Roman"/>
                <w:szCs w:val="28"/>
                <w:lang w:eastAsia="ru-RU"/>
              </w:rPr>
              <w:t xml:space="preserve"> департамент образования.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Соадминистраторы: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департамент городского хозяйства;</w:t>
            </w:r>
          </w:p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департамент архитектуры и градостроительства </w:t>
            </w:r>
          </w:p>
        </w:tc>
      </w:tr>
      <w:tr w:rsidR="003C01D3" w:rsidTr="003C01D3">
        <w:trPr>
          <w:trHeight w:val="42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обеспечение доступности качественного образо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вания, соответствующего требованиям инновационного развития экономики города, современным потребностям общества</w:t>
            </w:r>
          </w:p>
        </w:tc>
      </w:tr>
      <w:tr w:rsidR="003C01D3" w:rsidTr="003C01D3">
        <w:trPr>
          <w:trHeight w:val="4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 Обеспечение предоставления дошкольного 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образования, присмотра и ухода за детьми                               в муниципальных образовательных учреждениях, реализующих основную образовательную 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программу дошкольного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Развитие инфраструктуры дошкольных образовательных учреждений в целях повышения 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доступности дошкольного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 Обеспечение предоставления общего и дополнительного образования в общеобразовательных учреждениях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 Развитие инфраструктуры образовательных учреждений, реализующих основную общеобразовательную программу, в целях улучшения условий оказания образовательных услуг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5. Обеспечение предоставления дополнительного образования в муниципальных образовательных учреждениях дополнительного образования, 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подведомственных департаменту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 Развитие инфраструктуры учреждений дополнительного образования.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7. Обеспечение оздоровления и занятости детей            в каникулярный период.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8. Организация предоставления общедоступного бесплатного дошкольного, общего и дополнительного образования детей, отдыха детей в каникулярное время; обеспечение эффективного и устойчивого функционирования муниципальных образовательных учреждений, подведомственных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департаменту образования.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9. Исполнение переданных органам местного </w:t>
            </w:r>
          </w:p>
          <w:p w:rsidR="0099325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самоуправления в установленном порядке                    с уровня государственной власти Ханты-Мансийского автономного округа </w:t>
            </w:r>
            <w:r w:rsidR="00993253"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отдельных</w:t>
            </w:r>
          </w:p>
          <w:p w:rsidR="003C01D3" w:rsidRDefault="003C01D3" w:rsidP="00993253">
            <w:pPr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государственных полномочий</w:t>
            </w:r>
          </w:p>
        </w:tc>
      </w:tr>
      <w:tr w:rsidR="003C01D3" w:rsidTr="003C01D3">
        <w:trPr>
          <w:trHeight w:val="48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Срок реализации </w:t>
            </w:r>
          </w:p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 – 2030 годы</w:t>
            </w:r>
          </w:p>
        </w:tc>
      </w:tr>
      <w:tr w:rsidR="003C01D3" w:rsidTr="003C01D3">
        <w:trPr>
          <w:trHeight w:val="55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«Дошкольное образование в образовательных учреждениях, реализующих программу дошкольного образования»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«О</w:t>
            </w: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бщее и дополнительное образование в общеобразовательных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учреждениях»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«Дополнительное образование в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учреждениях дополнительного образования»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C01D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«Организация и обеспечение отдыха и оздоровления детей»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99325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 «Функционирование департамента образо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3C01D3" w:rsidRDefault="003C01D3" w:rsidP="00993253">
            <w:pPr>
              <w:tabs>
                <w:tab w:val="left" w:pos="175"/>
                <w:tab w:val="left" w:pos="291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вания» </w:t>
            </w:r>
          </w:p>
        </w:tc>
      </w:tr>
      <w:tr w:rsidR="003C01D3" w:rsidTr="003C01D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3" w:rsidRDefault="003C01D3" w:rsidP="00993253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Обеспечение предоставления муниципальных услуг.</w:t>
            </w:r>
          </w:p>
          <w:p w:rsidR="003C01D3" w:rsidRDefault="003C01D3" w:rsidP="00993253">
            <w:pPr>
              <w:tabs>
                <w:tab w:val="left" w:pos="320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Обеспечение координации деятельности подведомственных учреждений.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Финансовое обеспечение услуг в сфере образования негосударственными организациями, в том числе социально ориентированными некоммерческими организациями. 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Обеспечение детей дошкольного возраста местами в дошкольных образовательных организациях.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Обеспечение равенства доступа учащихся общеобразовательных организаций 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 качественным образовательным услугам общего образования, снижение дифференциации (разрыва) в качестве образовательных результатов между школами.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Обеспечение доступности дополнительного образования детей. 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Обеспечение организации отдыха детей 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каникулярное время, включая мероприятия 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обеспечению безопасности их жизни 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здоровья.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 Ввод в эксплуатацию новых объектов дошкольного, общего, дополнительного образования по окончании строительства.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9. Приобретение недвижимого имущества </w:t>
            </w:r>
          </w:p>
          <w:p w:rsidR="0099325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для размещения дошкольных, общеобразова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тельных учреждений, учреждений дополни</w:t>
            </w:r>
            <w:r w:rsidR="0099325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3C01D3" w:rsidRDefault="003C01D3" w:rsidP="00993253">
            <w:pPr>
              <w:tabs>
                <w:tab w:val="left" w:pos="336"/>
                <w:tab w:val="left" w:pos="993"/>
                <w:tab w:val="left" w:pos="1134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тельного образования</w:t>
            </w:r>
          </w:p>
        </w:tc>
      </w:tr>
    </w:tbl>
    <w:p w:rsidR="007560C1" w:rsidRPr="003C01D3" w:rsidRDefault="007560C1" w:rsidP="003C01D3"/>
    <w:sectPr w:rsidR="007560C1" w:rsidRPr="003C01D3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5B" w:rsidRDefault="00500B5B" w:rsidP="003C01D3">
      <w:r>
        <w:separator/>
      </w:r>
    </w:p>
  </w:endnote>
  <w:endnote w:type="continuationSeparator" w:id="0">
    <w:p w:rsidR="00500B5B" w:rsidRDefault="00500B5B" w:rsidP="003C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5B" w:rsidRDefault="00500B5B" w:rsidP="003C01D3">
      <w:r>
        <w:separator/>
      </w:r>
    </w:p>
  </w:footnote>
  <w:footnote w:type="continuationSeparator" w:id="0">
    <w:p w:rsidR="00500B5B" w:rsidRDefault="00500B5B" w:rsidP="003C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3099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01D3" w:rsidRPr="003C01D3" w:rsidRDefault="003C01D3">
        <w:pPr>
          <w:pStyle w:val="a4"/>
          <w:jc w:val="center"/>
          <w:rPr>
            <w:sz w:val="20"/>
            <w:szCs w:val="20"/>
          </w:rPr>
        </w:pPr>
        <w:r w:rsidRPr="003C01D3">
          <w:rPr>
            <w:sz w:val="20"/>
            <w:szCs w:val="20"/>
          </w:rPr>
          <w:fldChar w:fldCharType="begin"/>
        </w:r>
        <w:r w:rsidRPr="003C01D3">
          <w:rPr>
            <w:sz w:val="20"/>
            <w:szCs w:val="20"/>
          </w:rPr>
          <w:instrText>PAGE   \* MERGEFORMAT</w:instrText>
        </w:r>
        <w:r w:rsidRPr="003C01D3">
          <w:rPr>
            <w:sz w:val="20"/>
            <w:szCs w:val="20"/>
          </w:rPr>
          <w:fldChar w:fldCharType="separate"/>
        </w:r>
        <w:r w:rsidR="00F31BA7">
          <w:rPr>
            <w:noProof/>
            <w:sz w:val="20"/>
            <w:szCs w:val="20"/>
          </w:rPr>
          <w:t>1</w:t>
        </w:r>
        <w:r w:rsidRPr="003C01D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41B7"/>
    <w:multiLevelType w:val="hybridMultilevel"/>
    <w:tmpl w:val="6F92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7E6"/>
    <w:multiLevelType w:val="hybridMultilevel"/>
    <w:tmpl w:val="6F92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7E00"/>
    <w:multiLevelType w:val="hybridMultilevel"/>
    <w:tmpl w:val="FBA6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25A1C"/>
    <w:multiLevelType w:val="hybridMultilevel"/>
    <w:tmpl w:val="7254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D3"/>
    <w:rsid w:val="000E7FF7"/>
    <w:rsid w:val="00290684"/>
    <w:rsid w:val="003C01D3"/>
    <w:rsid w:val="00500B5B"/>
    <w:rsid w:val="007560C1"/>
    <w:rsid w:val="00765B96"/>
    <w:rsid w:val="008E6037"/>
    <w:rsid w:val="00993253"/>
    <w:rsid w:val="00A004FC"/>
    <w:rsid w:val="00A5590F"/>
    <w:rsid w:val="00D63EB6"/>
    <w:rsid w:val="00D80BB2"/>
    <w:rsid w:val="00F1127B"/>
    <w:rsid w:val="00F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D730-60F9-44F5-B6DC-0F9BF59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1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0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1D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99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2017-10-31T12:43:00Z</cp:lastPrinted>
  <dcterms:created xsi:type="dcterms:W3CDTF">2017-11-07T05:13:00Z</dcterms:created>
  <dcterms:modified xsi:type="dcterms:W3CDTF">2017-11-07T05:13:00Z</dcterms:modified>
</cp:coreProperties>
</file>