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45" w:rsidRDefault="001A2145" w:rsidP="00656C1A">
      <w:pPr>
        <w:spacing w:line="120" w:lineRule="atLeast"/>
        <w:jc w:val="center"/>
        <w:rPr>
          <w:sz w:val="24"/>
          <w:szCs w:val="24"/>
        </w:rPr>
      </w:pPr>
    </w:p>
    <w:p w:rsidR="001A2145" w:rsidRDefault="001A2145" w:rsidP="00656C1A">
      <w:pPr>
        <w:spacing w:line="120" w:lineRule="atLeast"/>
        <w:jc w:val="center"/>
        <w:rPr>
          <w:sz w:val="24"/>
          <w:szCs w:val="24"/>
        </w:rPr>
      </w:pPr>
    </w:p>
    <w:p w:rsidR="001A2145" w:rsidRPr="00852378" w:rsidRDefault="001A2145" w:rsidP="00656C1A">
      <w:pPr>
        <w:spacing w:line="120" w:lineRule="atLeast"/>
        <w:jc w:val="center"/>
        <w:rPr>
          <w:sz w:val="10"/>
          <w:szCs w:val="10"/>
        </w:rPr>
      </w:pPr>
    </w:p>
    <w:p w:rsidR="001A2145" w:rsidRDefault="001A2145" w:rsidP="00656C1A">
      <w:pPr>
        <w:spacing w:line="120" w:lineRule="atLeast"/>
        <w:jc w:val="center"/>
        <w:rPr>
          <w:sz w:val="10"/>
          <w:szCs w:val="24"/>
        </w:rPr>
      </w:pPr>
    </w:p>
    <w:p w:rsidR="001A2145" w:rsidRPr="005541F0" w:rsidRDefault="001A21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A2145" w:rsidRPr="005541F0" w:rsidRDefault="001A21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A2145" w:rsidRPr="005649E4" w:rsidRDefault="001A2145" w:rsidP="00656C1A">
      <w:pPr>
        <w:spacing w:line="120" w:lineRule="atLeast"/>
        <w:jc w:val="center"/>
        <w:rPr>
          <w:sz w:val="18"/>
          <w:szCs w:val="24"/>
        </w:rPr>
      </w:pPr>
    </w:p>
    <w:p w:rsidR="001A2145" w:rsidRPr="00656C1A" w:rsidRDefault="001A214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A2145" w:rsidRPr="005541F0" w:rsidRDefault="001A2145" w:rsidP="00656C1A">
      <w:pPr>
        <w:spacing w:line="120" w:lineRule="atLeast"/>
        <w:jc w:val="center"/>
        <w:rPr>
          <w:sz w:val="18"/>
          <w:szCs w:val="24"/>
        </w:rPr>
      </w:pPr>
    </w:p>
    <w:p w:rsidR="001A2145" w:rsidRPr="005541F0" w:rsidRDefault="001A2145" w:rsidP="00656C1A">
      <w:pPr>
        <w:spacing w:line="120" w:lineRule="atLeast"/>
        <w:jc w:val="center"/>
        <w:rPr>
          <w:sz w:val="20"/>
          <w:szCs w:val="24"/>
        </w:rPr>
      </w:pPr>
    </w:p>
    <w:p w:rsidR="001A2145" w:rsidRPr="00656C1A" w:rsidRDefault="001A214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A2145" w:rsidRDefault="001A2145" w:rsidP="00656C1A">
      <w:pPr>
        <w:spacing w:line="120" w:lineRule="atLeast"/>
        <w:jc w:val="center"/>
        <w:rPr>
          <w:sz w:val="30"/>
          <w:szCs w:val="24"/>
        </w:rPr>
      </w:pPr>
    </w:p>
    <w:p w:rsidR="001A2145" w:rsidRPr="00656C1A" w:rsidRDefault="001A214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A214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A2145" w:rsidRPr="00F8214F" w:rsidRDefault="001A21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A2145" w:rsidRPr="00F8214F" w:rsidRDefault="0093557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A2145" w:rsidRPr="00F8214F" w:rsidRDefault="001A214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A2145" w:rsidRPr="00F8214F" w:rsidRDefault="0093557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A2145" w:rsidRPr="00A63FB0" w:rsidRDefault="001A214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A2145" w:rsidRPr="00A3761A" w:rsidRDefault="0093557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1A2145" w:rsidRPr="00F8214F" w:rsidRDefault="001A214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A2145" w:rsidRPr="00F8214F" w:rsidRDefault="001A214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A2145" w:rsidRPr="00AB4194" w:rsidRDefault="001A21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A2145" w:rsidRPr="00F8214F" w:rsidRDefault="0093557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2235</w:t>
            </w:r>
          </w:p>
        </w:tc>
      </w:tr>
    </w:tbl>
    <w:p w:rsidR="001A2145" w:rsidRPr="000C4AB5" w:rsidRDefault="001A2145" w:rsidP="00C725A6">
      <w:pPr>
        <w:rPr>
          <w:rFonts w:cs="Times New Roman"/>
          <w:szCs w:val="28"/>
          <w:lang w:val="en-US"/>
        </w:rPr>
      </w:pPr>
    </w:p>
    <w:p w:rsidR="001A2145" w:rsidRPr="001A2145" w:rsidRDefault="001A2145" w:rsidP="001A214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 xml:space="preserve">О внесении изменения в распоряжение </w:t>
      </w:r>
    </w:p>
    <w:p w:rsidR="001A2145" w:rsidRPr="001A2145" w:rsidRDefault="001A2145" w:rsidP="001A214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 xml:space="preserve">Администрации города от 23.06.2017 </w:t>
      </w:r>
    </w:p>
    <w:p w:rsidR="001A2145" w:rsidRDefault="001A2145" w:rsidP="001A214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 xml:space="preserve">№ 1052 «Об утверждении перечня </w:t>
      </w:r>
    </w:p>
    <w:p w:rsidR="001A2145" w:rsidRDefault="001A2145" w:rsidP="001A214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получателей </w:t>
      </w:r>
      <w:r w:rsidRPr="001A2145">
        <w:rPr>
          <w:rFonts w:eastAsia="Times New Roman" w:cs="Times New Roman"/>
          <w:bCs/>
          <w:szCs w:val="28"/>
          <w:lang w:eastAsia="ru-RU"/>
        </w:rPr>
        <w:t>субсидии и объ</w:t>
      </w:r>
      <w:r>
        <w:rPr>
          <w:rFonts w:eastAsia="Times New Roman" w:cs="Times New Roman"/>
          <w:bCs/>
          <w:szCs w:val="28"/>
          <w:lang w:eastAsia="ru-RU"/>
        </w:rPr>
        <w:t>е</w:t>
      </w:r>
      <w:r w:rsidRPr="001A2145">
        <w:rPr>
          <w:rFonts w:eastAsia="Times New Roman" w:cs="Times New Roman"/>
          <w:bCs/>
          <w:szCs w:val="28"/>
          <w:lang w:eastAsia="ru-RU"/>
        </w:rPr>
        <w:t xml:space="preserve">ма </w:t>
      </w:r>
    </w:p>
    <w:p w:rsidR="001A2145" w:rsidRDefault="001A2145" w:rsidP="001A214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bCs/>
          <w:szCs w:val="28"/>
          <w:lang w:eastAsia="ru-RU"/>
        </w:rPr>
        <w:t>предоставляемой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1A2145">
        <w:rPr>
          <w:rFonts w:eastAsia="Times New Roman" w:cs="Times New Roman"/>
          <w:szCs w:val="28"/>
          <w:lang w:eastAsia="ru-RU"/>
        </w:rPr>
        <w:t xml:space="preserve">субсидии на возмещение </w:t>
      </w:r>
    </w:p>
    <w:p w:rsidR="001A2145" w:rsidRDefault="001A2145" w:rsidP="001A214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>части затрат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A2145">
        <w:rPr>
          <w:rFonts w:eastAsia="Times New Roman" w:cs="Times New Roman"/>
          <w:szCs w:val="28"/>
          <w:lang w:eastAsia="ru-RU"/>
        </w:rPr>
        <w:t xml:space="preserve">на уплату процентов </w:t>
      </w:r>
    </w:p>
    <w:p w:rsidR="001A2145" w:rsidRDefault="001A2145" w:rsidP="001A214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>организациям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A2145">
        <w:rPr>
          <w:rFonts w:eastAsia="Times New Roman" w:cs="Times New Roman"/>
          <w:szCs w:val="28"/>
          <w:lang w:eastAsia="ru-RU"/>
        </w:rPr>
        <w:t xml:space="preserve">коммунального комплекса </w:t>
      </w:r>
    </w:p>
    <w:p w:rsidR="001A2145" w:rsidRDefault="001A2145" w:rsidP="001A214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>по привлекаемым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A2145">
        <w:rPr>
          <w:rFonts w:eastAsia="Times New Roman" w:cs="Times New Roman"/>
          <w:szCs w:val="28"/>
          <w:lang w:eastAsia="ru-RU"/>
        </w:rPr>
        <w:t>за</w:t>
      </w:r>
      <w:r>
        <w:rPr>
          <w:rFonts w:eastAsia="Times New Roman" w:cs="Times New Roman"/>
          <w:szCs w:val="28"/>
          <w:lang w:eastAsia="ru-RU"/>
        </w:rPr>
        <w:t>е</w:t>
      </w:r>
      <w:r w:rsidRPr="001A2145">
        <w:rPr>
          <w:rFonts w:eastAsia="Times New Roman" w:cs="Times New Roman"/>
          <w:szCs w:val="28"/>
          <w:lang w:eastAsia="ru-RU"/>
        </w:rPr>
        <w:t xml:space="preserve">мным средствам </w:t>
      </w:r>
    </w:p>
    <w:p w:rsidR="001A2145" w:rsidRDefault="001A2145" w:rsidP="001A214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>на реконструкцию,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A2145">
        <w:rPr>
          <w:rFonts w:eastAsia="Times New Roman" w:cs="Times New Roman"/>
          <w:szCs w:val="28"/>
          <w:lang w:eastAsia="ru-RU"/>
        </w:rPr>
        <w:t xml:space="preserve">расширение, модернизацию, </w:t>
      </w:r>
    </w:p>
    <w:p w:rsidR="001A2145" w:rsidRDefault="001A2145" w:rsidP="001A214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>строительство,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A2145">
        <w:rPr>
          <w:rFonts w:eastAsia="Times New Roman" w:cs="Times New Roman"/>
          <w:szCs w:val="28"/>
          <w:lang w:eastAsia="ru-RU"/>
        </w:rPr>
        <w:t xml:space="preserve">капитальный ремонт объектов </w:t>
      </w:r>
    </w:p>
    <w:p w:rsidR="001A2145" w:rsidRPr="001A2145" w:rsidRDefault="001A2145" w:rsidP="001A214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>коммунального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A2145">
        <w:rPr>
          <w:rFonts w:eastAsia="Times New Roman" w:cs="Times New Roman"/>
          <w:szCs w:val="28"/>
          <w:lang w:eastAsia="ru-RU"/>
        </w:rPr>
        <w:t>комплекса, реализацию проектов</w:t>
      </w:r>
    </w:p>
    <w:p w:rsidR="001A2145" w:rsidRPr="001A2145" w:rsidRDefault="001A2145" w:rsidP="001A2145">
      <w:pPr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>альтернативной энергетики, получаемой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1A2145" w:rsidRPr="001A2145" w:rsidRDefault="001A2145" w:rsidP="001A2145">
      <w:pPr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>ранее в соответствии с постановлением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1A2145" w:rsidRPr="001A2145" w:rsidRDefault="001A2145" w:rsidP="001A2145">
      <w:pPr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 xml:space="preserve">Правительства автономного округа «О целевой </w:t>
      </w:r>
    </w:p>
    <w:p w:rsidR="001A2145" w:rsidRPr="001A2145" w:rsidRDefault="001A2145" w:rsidP="001A2145">
      <w:pPr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 xml:space="preserve">программе Ханты-Мансийского автономного </w:t>
      </w:r>
    </w:p>
    <w:p w:rsidR="001A2145" w:rsidRPr="001A2145" w:rsidRDefault="001A2145" w:rsidP="001A2145">
      <w:pPr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 xml:space="preserve">округа – Югры «Модернизация </w:t>
      </w:r>
    </w:p>
    <w:p w:rsidR="001A2145" w:rsidRPr="001A2145" w:rsidRDefault="001A2145" w:rsidP="001A2145">
      <w:pPr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 xml:space="preserve">и реформирование жилищно-коммунального </w:t>
      </w:r>
    </w:p>
    <w:p w:rsidR="001A2145" w:rsidRPr="001A2145" w:rsidRDefault="001A2145" w:rsidP="001A2145">
      <w:pPr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 xml:space="preserve">комплекса Ханты-Мансийского автономного </w:t>
      </w:r>
    </w:p>
    <w:p w:rsidR="001A2145" w:rsidRPr="001A2145" w:rsidRDefault="001A2145" w:rsidP="001A2145">
      <w:pPr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 xml:space="preserve">округа – Югры на 2011 – 2013 годы </w:t>
      </w:r>
    </w:p>
    <w:p w:rsidR="001A2145" w:rsidRPr="001A2145" w:rsidRDefault="001A2145" w:rsidP="001A2145">
      <w:pPr>
        <w:rPr>
          <w:rFonts w:eastAsia="Times New Roman" w:cs="Times New Roman"/>
          <w:sz w:val="24"/>
          <w:szCs w:val="24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>и на период до 2015 года»</w:t>
      </w:r>
    </w:p>
    <w:p w:rsidR="001A2145" w:rsidRPr="001A2145" w:rsidRDefault="001A2145" w:rsidP="001A2145">
      <w:pPr>
        <w:rPr>
          <w:rFonts w:eastAsia="Times New Roman" w:cs="Times New Roman"/>
          <w:szCs w:val="28"/>
          <w:lang w:eastAsia="ru-RU"/>
        </w:rPr>
      </w:pPr>
    </w:p>
    <w:p w:rsidR="001A2145" w:rsidRPr="001A2145" w:rsidRDefault="001A2145" w:rsidP="001A2145">
      <w:pPr>
        <w:rPr>
          <w:rFonts w:eastAsia="Times New Roman" w:cs="Times New Roman"/>
          <w:szCs w:val="24"/>
          <w:lang w:eastAsia="ru-RU"/>
        </w:rPr>
      </w:pPr>
    </w:p>
    <w:p w:rsidR="001A2145" w:rsidRPr="001A2145" w:rsidRDefault="001A2145" w:rsidP="001A214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5" w:name="sub_1"/>
      <w:r w:rsidRPr="001A2145">
        <w:rPr>
          <w:rFonts w:eastAsia="Times New Roman" w:cs="Times New Roman"/>
          <w:szCs w:val="24"/>
          <w:lang w:eastAsia="ru-RU"/>
        </w:rPr>
        <w:t xml:space="preserve">В соответствии с распоряжениями Администрации города от 30.12.2005      № 3686 «Об утверждении Регламента Администрации города», от 10.01.2017 </w:t>
      </w:r>
      <w:r>
        <w:rPr>
          <w:rFonts w:eastAsia="Times New Roman" w:cs="Times New Roman"/>
          <w:szCs w:val="24"/>
          <w:lang w:eastAsia="ru-RU"/>
        </w:rPr>
        <w:t xml:space="preserve">                      </w:t>
      </w:r>
      <w:r w:rsidRPr="001A2145">
        <w:rPr>
          <w:rFonts w:eastAsia="Times New Roman" w:cs="Times New Roman"/>
          <w:szCs w:val="24"/>
          <w:lang w:eastAsia="ru-RU"/>
        </w:rPr>
        <w:t>№ 01 «О передаче некоторых полномочий высшим должностным лицам Администрации города», в целях уточнения перечня получателей субсидии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1A2145">
        <w:rPr>
          <w:rFonts w:eastAsia="Times New Roman" w:cs="Times New Roman"/>
          <w:szCs w:val="24"/>
          <w:lang w:eastAsia="ru-RU"/>
        </w:rPr>
        <w:t>и объема предоставляемой субсидии:</w:t>
      </w:r>
    </w:p>
    <w:p w:rsidR="001A2145" w:rsidRPr="001A2145" w:rsidRDefault="001A2145" w:rsidP="001A214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A2145">
        <w:rPr>
          <w:rFonts w:eastAsia="Times New Roman" w:cs="Times New Roman"/>
          <w:szCs w:val="24"/>
          <w:lang w:eastAsia="ru-RU"/>
        </w:rPr>
        <w:t xml:space="preserve">1. Внести в распоряжение Администрации города от 23.06.2017 № 1052 </w:t>
      </w:r>
      <w:r>
        <w:rPr>
          <w:rFonts w:eastAsia="Times New Roman" w:cs="Times New Roman"/>
          <w:szCs w:val="24"/>
          <w:lang w:eastAsia="ru-RU"/>
        </w:rPr>
        <w:t xml:space="preserve">                  </w:t>
      </w:r>
      <w:r w:rsidRPr="001A2145">
        <w:rPr>
          <w:rFonts w:eastAsia="Times New Roman" w:cs="Times New Roman"/>
          <w:szCs w:val="24"/>
          <w:lang w:eastAsia="ru-RU"/>
        </w:rPr>
        <w:t>«Об утверждении перечня получателей субсидии и объ</w:t>
      </w:r>
      <w:r>
        <w:rPr>
          <w:rFonts w:eastAsia="Times New Roman" w:cs="Times New Roman"/>
          <w:szCs w:val="24"/>
          <w:lang w:eastAsia="ru-RU"/>
        </w:rPr>
        <w:t>е</w:t>
      </w:r>
      <w:r w:rsidRPr="001A2145">
        <w:rPr>
          <w:rFonts w:eastAsia="Times New Roman" w:cs="Times New Roman"/>
          <w:szCs w:val="24"/>
          <w:lang w:eastAsia="ru-RU"/>
        </w:rPr>
        <w:t xml:space="preserve">ма предоставляемой </w:t>
      </w:r>
      <w:r>
        <w:rPr>
          <w:rFonts w:eastAsia="Times New Roman" w:cs="Times New Roman"/>
          <w:szCs w:val="24"/>
          <w:lang w:eastAsia="ru-RU"/>
        </w:rPr>
        <w:t xml:space="preserve">                       </w:t>
      </w:r>
      <w:r w:rsidRPr="001A2145">
        <w:rPr>
          <w:rFonts w:eastAsia="Times New Roman" w:cs="Times New Roman"/>
          <w:szCs w:val="24"/>
          <w:lang w:eastAsia="ru-RU"/>
        </w:rPr>
        <w:t>субсидии на возмещение части затрат на уплату процентов организациям коммунального комплекса по привлекаемым за</w:t>
      </w:r>
      <w:r>
        <w:rPr>
          <w:rFonts w:eastAsia="Times New Roman" w:cs="Times New Roman"/>
          <w:szCs w:val="24"/>
          <w:lang w:eastAsia="ru-RU"/>
        </w:rPr>
        <w:t>е</w:t>
      </w:r>
      <w:r w:rsidRPr="001A2145">
        <w:rPr>
          <w:rFonts w:eastAsia="Times New Roman" w:cs="Times New Roman"/>
          <w:szCs w:val="24"/>
          <w:lang w:eastAsia="ru-RU"/>
        </w:rPr>
        <w:t>мным средствам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1A2145">
        <w:rPr>
          <w:rFonts w:eastAsia="Times New Roman" w:cs="Times New Roman"/>
          <w:szCs w:val="24"/>
          <w:lang w:eastAsia="ru-RU"/>
        </w:rPr>
        <w:t xml:space="preserve">на реконструкцию, расширение, модернизацию, строительство, капитальный ремонт объектов </w:t>
      </w:r>
      <w:r>
        <w:rPr>
          <w:rFonts w:eastAsia="Times New Roman" w:cs="Times New Roman"/>
          <w:szCs w:val="24"/>
          <w:lang w:eastAsia="ru-RU"/>
        </w:rPr>
        <w:t xml:space="preserve">              </w:t>
      </w:r>
      <w:r w:rsidRPr="001A2145">
        <w:rPr>
          <w:rFonts w:eastAsia="Times New Roman" w:cs="Times New Roman"/>
          <w:szCs w:val="24"/>
          <w:lang w:eastAsia="ru-RU"/>
        </w:rPr>
        <w:t>коммунального комплекса, реализацию проектов альтернативной энергетики, получаемой ранее в соответствии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1A2145">
        <w:rPr>
          <w:rFonts w:eastAsia="Times New Roman" w:cs="Times New Roman"/>
          <w:szCs w:val="24"/>
          <w:lang w:eastAsia="ru-RU"/>
        </w:rPr>
        <w:t xml:space="preserve">с постановлением Правительства автономного </w:t>
      </w:r>
      <w:r w:rsidRPr="001A2145">
        <w:rPr>
          <w:rFonts w:eastAsia="Times New Roman" w:cs="Times New Roman"/>
          <w:szCs w:val="24"/>
          <w:lang w:eastAsia="ru-RU"/>
        </w:rPr>
        <w:lastRenderedPageBreak/>
        <w:t>округа «О целевой программе Ханты-Мансийского автономного округа – Югры «Модернизация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1A2145">
        <w:rPr>
          <w:rFonts w:eastAsia="Times New Roman" w:cs="Times New Roman"/>
          <w:szCs w:val="24"/>
          <w:lang w:eastAsia="ru-RU"/>
        </w:rPr>
        <w:t xml:space="preserve">и реформирование жилищно-коммунального комплекса Ханты-Мансийского автономного округа – Югры на 2011 – 2013 годы и на период </w:t>
      </w:r>
      <w:r>
        <w:rPr>
          <w:rFonts w:eastAsia="Times New Roman" w:cs="Times New Roman"/>
          <w:szCs w:val="24"/>
          <w:lang w:eastAsia="ru-RU"/>
        </w:rPr>
        <w:t xml:space="preserve">                    </w:t>
      </w:r>
      <w:r w:rsidRPr="001A2145">
        <w:rPr>
          <w:rFonts w:eastAsia="Times New Roman" w:cs="Times New Roman"/>
          <w:szCs w:val="24"/>
          <w:lang w:eastAsia="ru-RU"/>
        </w:rPr>
        <w:t xml:space="preserve">до 2015 года» изменение, изложив приложение к распоряжению в новой </w:t>
      </w:r>
      <w:r>
        <w:rPr>
          <w:rFonts w:eastAsia="Times New Roman" w:cs="Times New Roman"/>
          <w:szCs w:val="24"/>
          <w:lang w:eastAsia="ru-RU"/>
        </w:rPr>
        <w:t xml:space="preserve">                             </w:t>
      </w:r>
      <w:r w:rsidRPr="001A2145">
        <w:rPr>
          <w:rFonts w:eastAsia="Times New Roman" w:cs="Times New Roman"/>
          <w:szCs w:val="24"/>
          <w:lang w:eastAsia="ru-RU"/>
        </w:rPr>
        <w:t>редакции согласно приложению к настоящему распоряжению.</w:t>
      </w:r>
    </w:p>
    <w:p w:rsidR="001A2145" w:rsidRPr="001A2145" w:rsidRDefault="001A2145" w:rsidP="001A214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bookmarkEnd w:id="5"/>
    <w:p w:rsidR="001A2145" w:rsidRPr="001A2145" w:rsidRDefault="001A2145" w:rsidP="001A214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A2145">
        <w:rPr>
          <w:rFonts w:eastAsia="Times New Roman" w:cs="Times New Roman"/>
          <w:szCs w:val="24"/>
          <w:lang w:eastAsia="ru-RU"/>
        </w:rPr>
        <w:t>3. Контроль за выполнением распоряжения оставляю за собой.</w:t>
      </w:r>
    </w:p>
    <w:p w:rsidR="001A2145" w:rsidRPr="001A2145" w:rsidRDefault="001A2145" w:rsidP="001A2145">
      <w:pPr>
        <w:jc w:val="both"/>
        <w:rPr>
          <w:rFonts w:eastAsia="Times New Roman" w:cs="Times New Roman"/>
          <w:szCs w:val="24"/>
          <w:lang w:eastAsia="ru-RU"/>
        </w:rPr>
      </w:pPr>
    </w:p>
    <w:p w:rsidR="001A2145" w:rsidRPr="001A2145" w:rsidRDefault="001A2145" w:rsidP="001A2145">
      <w:pPr>
        <w:jc w:val="both"/>
        <w:rPr>
          <w:rFonts w:eastAsia="Times New Roman" w:cs="Times New Roman"/>
          <w:szCs w:val="24"/>
          <w:lang w:eastAsia="ru-RU"/>
        </w:rPr>
      </w:pPr>
    </w:p>
    <w:p w:rsidR="001A2145" w:rsidRPr="001A2145" w:rsidRDefault="001A2145" w:rsidP="001A2145">
      <w:pPr>
        <w:jc w:val="both"/>
        <w:rPr>
          <w:rFonts w:eastAsia="Times New Roman" w:cs="Times New Roman"/>
          <w:szCs w:val="24"/>
          <w:lang w:eastAsia="ru-RU"/>
        </w:rPr>
      </w:pPr>
    </w:p>
    <w:p w:rsidR="001A2145" w:rsidRDefault="001A2145" w:rsidP="001A214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1A2145">
        <w:rPr>
          <w:rFonts w:eastAsia="Times New Roman" w:cs="Times New Roman"/>
          <w:szCs w:val="20"/>
          <w:lang w:eastAsia="ru-RU"/>
        </w:rPr>
        <w:t xml:space="preserve">Заместитель Главы города </w:t>
      </w:r>
      <w:r w:rsidRPr="001A2145">
        <w:rPr>
          <w:rFonts w:eastAsia="Times New Roman" w:cs="Times New Roman"/>
          <w:szCs w:val="20"/>
          <w:lang w:eastAsia="ru-RU"/>
        </w:rPr>
        <w:tab/>
      </w:r>
      <w:r w:rsidRPr="001A2145">
        <w:rPr>
          <w:rFonts w:eastAsia="Times New Roman" w:cs="Times New Roman"/>
          <w:szCs w:val="20"/>
          <w:lang w:eastAsia="ru-RU"/>
        </w:rPr>
        <w:tab/>
      </w:r>
      <w:r w:rsidRPr="001A2145">
        <w:rPr>
          <w:rFonts w:eastAsia="Times New Roman" w:cs="Times New Roman"/>
          <w:szCs w:val="20"/>
          <w:lang w:eastAsia="ru-RU"/>
        </w:rPr>
        <w:tab/>
      </w:r>
      <w:r w:rsidRPr="001A2145">
        <w:rPr>
          <w:rFonts w:eastAsia="Times New Roman" w:cs="Times New Roman"/>
          <w:szCs w:val="20"/>
          <w:lang w:eastAsia="ru-RU"/>
        </w:rPr>
        <w:tab/>
      </w:r>
      <w:r w:rsidRPr="001A2145">
        <w:rPr>
          <w:rFonts w:eastAsia="Times New Roman" w:cs="Times New Roman"/>
          <w:szCs w:val="20"/>
          <w:lang w:eastAsia="ru-RU"/>
        </w:rPr>
        <w:tab/>
      </w:r>
      <w:r w:rsidRPr="001A2145">
        <w:rPr>
          <w:rFonts w:eastAsia="Times New Roman" w:cs="Times New Roman"/>
          <w:szCs w:val="20"/>
          <w:lang w:eastAsia="ru-RU"/>
        </w:rPr>
        <w:tab/>
      </w:r>
      <w:r w:rsidRPr="001A2145"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 xml:space="preserve">   </w:t>
      </w:r>
      <w:r w:rsidRPr="001A2145">
        <w:rPr>
          <w:rFonts w:eastAsia="Times New Roman" w:cs="Times New Roman"/>
          <w:szCs w:val="20"/>
          <w:lang w:eastAsia="ru-RU"/>
        </w:rPr>
        <w:t>Н.Н. Кривцов</w:t>
      </w:r>
    </w:p>
    <w:p w:rsidR="001A2145" w:rsidRPr="001A2145" w:rsidRDefault="001A2145" w:rsidP="001A214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</w:pPr>
    </w:p>
    <w:p w:rsidR="001A2145" w:rsidRDefault="001A2145" w:rsidP="001A2145">
      <w:pPr>
        <w:sectPr w:rsidR="001A2145" w:rsidSect="001A2145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1A2145" w:rsidRDefault="001A2145" w:rsidP="001A2145">
      <w:pPr>
        <w:widowControl w:val="0"/>
        <w:autoSpaceDE w:val="0"/>
        <w:autoSpaceDN w:val="0"/>
        <w:adjustRightInd w:val="0"/>
        <w:ind w:left="11624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1A2145">
        <w:rPr>
          <w:rFonts w:eastAsia="Times New Roman" w:cs="Times New Roman"/>
          <w:szCs w:val="20"/>
          <w:lang w:eastAsia="ru-RU"/>
        </w:rPr>
        <w:lastRenderedPageBreak/>
        <w:t xml:space="preserve">Приложение </w:t>
      </w:r>
    </w:p>
    <w:p w:rsidR="001A2145" w:rsidRPr="001A2145" w:rsidRDefault="001A2145" w:rsidP="001A2145">
      <w:pPr>
        <w:widowControl w:val="0"/>
        <w:autoSpaceDE w:val="0"/>
        <w:autoSpaceDN w:val="0"/>
        <w:adjustRightInd w:val="0"/>
        <w:ind w:left="11624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1A2145">
        <w:rPr>
          <w:rFonts w:eastAsia="Times New Roman" w:cs="Times New Roman"/>
          <w:szCs w:val="20"/>
          <w:lang w:eastAsia="ru-RU"/>
        </w:rPr>
        <w:t>к распоряжению</w:t>
      </w:r>
    </w:p>
    <w:p w:rsidR="001A2145" w:rsidRPr="001A2145" w:rsidRDefault="001A2145" w:rsidP="001A2145">
      <w:pPr>
        <w:widowControl w:val="0"/>
        <w:autoSpaceDE w:val="0"/>
        <w:autoSpaceDN w:val="0"/>
        <w:adjustRightInd w:val="0"/>
        <w:ind w:left="11624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1A2145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1A2145" w:rsidRPr="001A2145" w:rsidRDefault="001A2145" w:rsidP="001A2145">
      <w:pPr>
        <w:ind w:left="11624"/>
        <w:rPr>
          <w:rFonts w:eastAsia="Times New Roman" w:cs="Times New Roman"/>
          <w:szCs w:val="24"/>
          <w:lang w:eastAsia="ru-RU"/>
        </w:rPr>
      </w:pPr>
      <w:r w:rsidRPr="001A2145">
        <w:rPr>
          <w:rFonts w:eastAsia="Times New Roman" w:cs="Times New Roman"/>
          <w:szCs w:val="24"/>
          <w:lang w:eastAsia="ru-RU"/>
        </w:rPr>
        <w:t>от ____________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1A2145">
        <w:rPr>
          <w:rFonts w:eastAsia="Times New Roman" w:cs="Times New Roman"/>
          <w:szCs w:val="24"/>
          <w:lang w:eastAsia="ru-RU"/>
        </w:rPr>
        <w:t>№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1A2145">
        <w:rPr>
          <w:rFonts w:eastAsia="Times New Roman" w:cs="Times New Roman"/>
          <w:szCs w:val="24"/>
          <w:lang w:eastAsia="ru-RU"/>
        </w:rPr>
        <w:t>_________</w:t>
      </w:r>
    </w:p>
    <w:p w:rsidR="001A2145" w:rsidRPr="001A2145" w:rsidRDefault="001A2145" w:rsidP="001A2145">
      <w:pPr>
        <w:rPr>
          <w:rFonts w:eastAsia="Times New Roman" w:cs="Times New Roman"/>
          <w:szCs w:val="24"/>
          <w:lang w:eastAsia="ru-RU"/>
        </w:rPr>
      </w:pPr>
    </w:p>
    <w:p w:rsidR="001A2145" w:rsidRPr="001A2145" w:rsidRDefault="001A2145" w:rsidP="001A2145">
      <w:pPr>
        <w:jc w:val="center"/>
        <w:rPr>
          <w:rFonts w:eastAsia="Times New Roman" w:cs="Times New Roman"/>
          <w:szCs w:val="24"/>
          <w:lang w:eastAsia="ru-RU"/>
        </w:rPr>
      </w:pPr>
      <w:r w:rsidRPr="001A2145">
        <w:rPr>
          <w:rFonts w:eastAsia="Times New Roman" w:cs="Times New Roman"/>
          <w:szCs w:val="24"/>
          <w:lang w:eastAsia="ru-RU"/>
        </w:rPr>
        <w:t>Перечень</w:t>
      </w:r>
    </w:p>
    <w:p w:rsidR="001A2145" w:rsidRPr="001A2145" w:rsidRDefault="001A2145" w:rsidP="001A2145">
      <w:pPr>
        <w:jc w:val="center"/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 xml:space="preserve">получателей субсидии и объем предоставляемой субсидии </w:t>
      </w:r>
      <w:r w:rsidRPr="001A2145">
        <w:rPr>
          <w:rFonts w:eastAsia="Times New Roman" w:cs="Times New Roman"/>
          <w:bCs/>
          <w:szCs w:val="28"/>
          <w:lang w:eastAsia="ru-RU"/>
        </w:rPr>
        <w:t xml:space="preserve">на возмещение части затрат </w:t>
      </w:r>
      <w:r w:rsidRPr="001A2145">
        <w:rPr>
          <w:rFonts w:eastAsia="Times New Roman" w:cs="Times New Roman"/>
          <w:szCs w:val="28"/>
          <w:lang w:eastAsia="ru-RU"/>
        </w:rPr>
        <w:t xml:space="preserve">на уплату процентов </w:t>
      </w:r>
    </w:p>
    <w:p w:rsidR="001A2145" w:rsidRPr="001A2145" w:rsidRDefault="001A2145" w:rsidP="001A2145">
      <w:pPr>
        <w:jc w:val="center"/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>организациям коммунального комплекса по привлекаемым заемным средствам на реконструкцию, расширение,</w:t>
      </w:r>
    </w:p>
    <w:p w:rsidR="001A2145" w:rsidRPr="001A2145" w:rsidRDefault="001A2145" w:rsidP="001A2145">
      <w:pPr>
        <w:jc w:val="center"/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 xml:space="preserve"> модернизацию, строительство, капитальный ремонт объектов коммунального комплекса, реализацию проектов</w:t>
      </w:r>
    </w:p>
    <w:p w:rsidR="001A2145" w:rsidRPr="001A2145" w:rsidRDefault="001A2145" w:rsidP="001A2145">
      <w:pPr>
        <w:jc w:val="center"/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 xml:space="preserve"> альтернативной энергетики, получаемой ранее в соответствии с постановлением Правительства автономного округа</w:t>
      </w:r>
    </w:p>
    <w:p w:rsidR="001A2145" w:rsidRPr="001A2145" w:rsidRDefault="001A2145" w:rsidP="001A2145">
      <w:pPr>
        <w:jc w:val="center"/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 xml:space="preserve">«О целевой программе Ханты-Мансийского автономного округа – Югры «Модернизация и реформирование </w:t>
      </w:r>
    </w:p>
    <w:p w:rsidR="001A2145" w:rsidRPr="001A2145" w:rsidRDefault="001A2145" w:rsidP="001A2145">
      <w:pPr>
        <w:jc w:val="center"/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>жилищно-коммунального комплекса Ханты-Мансийского автономного округа – Югры на 2011 – 2013 годы</w:t>
      </w:r>
    </w:p>
    <w:p w:rsidR="001A2145" w:rsidRPr="001A2145" w:rsidRDefault="001A2145" w:rsidP="001A2145">
      <w:pPr>
        <w:jc w:val="center"/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>и на период до 2015 года», в 2017 году</w:t>
      </w:r>
    </w:p>
    <w:p w:rsidR="001A2145" w:rsidRPr="001A2145" w:rsidRDefault="001A2145" w:rsidP="001A2145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709"/>
        <w:gridCol w:w="850"/>
        <w:gridCol w:w="851"/>
        <w:gridCol w:w="2126"/>
        <w:gridCol w:w="2552"/>
        <w:gridCol w:w="2409"/>
      </w:tblGrid>
      <w:tr w:rsidR="001A2145" w:rsidRPr="001A2145" w:rsidTr="00C41E64">
        <w:trPr>
          <w:trHeight w:val="316"/>
        </w:trPr>
        <w:tc>
          <w:tcPr>
            <w:tcW w:w="5920" w:type="dxa"/>
            <w:vMerge w:val="restart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1A2145" w:rsidRPr="001A2145" w:rsidRDefault="001A2145" w:rsidP="001A2145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Ведомство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1A2145" w:rsidRPr="001A2145" w:rsidRDefault="001A2145" w:rsidP="001A2145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1A2145" w:rsidRPr="001A2145" w:rsidRDefault="001A2145" w:rsidP="001A2145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Подраздел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Сумма,</w:t>
            </w:r>
          </w:p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В том числе</w:t>
            </w:r>
          </w:p>
        </w:tc>
      </w:tr>
      <w:tr w:rsidR="001A2145" w:rsidRPr="001A2145" w:rsidTr="00C41E64">
        <w:trPr>
          <w:trHeight w:val="1265"/>
        </w:trPr>
        <w:tc>
          <w:tcPr>
            <w:tcW w:w="5920" w:type="dxa"/>
            <w:vMerge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1A2145" w:rsidRPr="001A2145" w:rsidRDefault="001A2145" w:rsidP="001A2145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1A2145" w:rsidRPr="001A2145" w:rsidRDefault="001A2145" w:rsidP="001A2145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1A2145" w:rsidRPr="001A2145" w:rsidRDefault="001A2145" w:rsidP="001A2145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 xml:space="preserve">за счет средств местного </w:t>
            </w:r>
            <w:r w:rsidRPr="001A2145">
              <w:rPr>
                <w:rFonts w:eastAsia="Times New Roman" w:cs="Times New Roman"/>
                <w:szCs w:val="24"/>
                <w:lang w:eastAsia="ru-RU"/>
              </w:rPr>
              <w:br/>
              <w:t xml:space="preserve">бюджета </w:t>
            </w:r>
          </w:p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(руб.)</w:t>
            </w:r>
          </w:p>
        </w:tc>
        <w:tc>
          <w:tcPr>
            <w:tcW w:w="2409" w:type="dxa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 xml:space="preserve">за счет средств бюджетов </w:t>
            </w:r>
            <w:r w:rsidRPr="001A2145">
              <w:rPr>
                <w:rFonts w:eastAsia="Times New Roman" w:cs="Times New Roman"/>
                <w:szCs w:val="24"/>
                <w:lang w:eastAsia="ru-RU"/>
              </w:rPr>
              <w:br/>
              <w:t>других уровней (руб.)</w:t>
            </w:r>
          </w:p>
        </w:tc>
      </w:tr>
      <w:tr w:rsidR="001A2145" w:rsidRPr="001A2145" w:rsidTr="00C41E64">
        <w:tc>
          <w:tcPr>
            <w:tcW w:w="5920" w:type="dxa"/>
            <w:shd w:val="clear" w:color="auto" w:fill="auto"/>
          </w:tcPr>
          <w:p w:rsidR="001A2145" w:rsidRDefault="001A2145" w:rsidP="001A214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 xml:space="preserve">Субсидия на возмещение части затрат </w:t>
            </w:r>
          </w:p>
          <w:p w:rsidR="001A2145" w:rsidRDefault="001A2145" w:rsidP="001A214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на уплату процентов организациям коммунального комплекса по привлекаемым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A2145">
              <w:rPr>
                <w:rFonts w:eastAsia="Times New Roman" w:cs="Times New Roman"/>
                <w:szCs w:val="24"/>
                <w:lang w:eastAsia="ru-RU"/>
              </w:rPr>
              <w:t xml:space="preserve">заемным средствам на реконструкцию, расширение, </w:t>
            </w:r>
          </w:p>
          <w:p w:rsidR="001A2145" w:rsidRDefault="001A2145" w:rsidP="001A214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модернизацию, строительство, капитальный ремонт объектов коммунального комплекса, реализацию проектов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A2145">
              <w:rPr>
                <w:rFonts w:eastAsia="Times New Roman" w:cs="Times New Roman"/>
                <w:szCs w:val="24"/>
                <w:lang w:eastAsia="ru-RU"/>
              </w:rPr>
              <w:t xml:space="preserve">альтернативной энергетики, получаемой ранее в соответствии  </w:t>
            </w:r>
          </w:p>
          <w:p w:rsidR="001A2145" w:rsidRDefault="001A2145" w:rsidP="001A214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с постановлением Правительства автономного округа «О целевой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A2145">
              <w:rPr>
                <w:rFonts w:eastAsia="Times New Roman" w:cs="Times New Roman"/>
                <w:szCs w:val="24"/>
                <w:lang w:eastAsia="ru-RU"/>
              </w:rPr>
              <w:t>программе Ханты-Мансийского автономного округа – Югры «Модернизация и реформирование жилищно-коммунального комплекса Ханты-Мансийского автономного округа – Югры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A2145">
              <w:rPr>
                <w:rFonts w:eastAsia="Times New Roman" w:cs="Times New Roman"/>
                <w:szCs w:val="24"/>
                <w:lang w:eastAsia="ru-RU"/>
              </w:rPr>
              <w:t xml:space="preserve">на 2011 – 2013 годы </w:t>
            </w:r>
          </w:p>
          <w:p w:rsidR="001A2145" w:rsidRPr="001A2145" w:rsidRDefault="001A2145" w:rsidP="001A214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и на период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A2145">
              <w:rPr>
                <w:rFonts w:eastAsia="Times New Roman" w:cs="Times New Roman"/>
                <w:szCs w:val="24"/>
                <w:lang w:eastAsia="ru-RU"/>
              </w:rPr>
              <w:t>до 2015 года»</w:t>
            </w:r>
            <w:r w:rsidRPr="001A2145">
              <w:rPr>
                <w:rFonts w:eastAsia="Times New Roman" w:cs="Times New Roman"/>
                <w:szCs w:val="28"/>
                <w:lang w:eastAsia="ru-RU"/>
              </w:rPr>
              <w:t>, всего</w:t>
            </w:r>
          </w:p>
        </w:tc>
        <w:tc>
          <w:tcPr>
            <w:tcW w:w="709" w:type="dxa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850" w:type="dxa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4 263 615,07</w:t>
            </w:r>
          </w:p>
        </w:tc>
        <w:tc>
          <w:tcPr>
            <w:tcW w:w="2552" w:type="dxa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72 815,07</w:t>
            </w:r>
          </w:p>
        </w:tc>
        <w:tc>
          <w:tcPr>
            <w:tcW w:w="2409" w:type="dxa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4 190 800,00</w:t>
            </w:r>
          </w:p>
        </w:tc>
      </w:tr>
      <w:tr w:rsidR="001A2145" w:rsidRPr="001A2145" w:rsidTr="00C41E64">
        <w:tc>
          <w:tcPr>
            <w:tcW w:w="15417" w:type="dxa"/>
            <w:gridSpan w:val="7"/>
            <w:shd w:val="clear" w:color="auto" w:fill="auto"/>
          </w:tcPr>
          <w:p w:rsidR="001A2145" w:rsidRPr="001A2145" w:rsidRDefault="001A2145" w:rsidP="001A214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В том числе по получателям субсидии</w:t>
            </w:r>
          </w:p>
        </w:tc>
      </w:tr>
      <w:tr w:rsidR="001A2145" w:rsidRPr="001A2145" w:rsidTr="00C41E64">
        <w:tc>
          <w:tcPr>
            <w:tcW w:w="5920" w:type="dxa"/>
            <w:shd w:val="clear" w:color="auto" w:fill="auto"/>
          </w:tcPr>
          <w:p w:rsidR="001A2145" w:rsidRDefault="001A2145" w:rsidP="001A2145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 xml:space="preserve">Сургутское городское муниципальное </w:t>
            </w:r>
          </w:p>
          <w:p w:rsidR="001A2145" w:rsidRPr="001A2145" w:rsidRDefault="001A2145" w:rsidP="001A2145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унитарное предприятие «Горводоканал»</w:t>
            </w:r>
          </w:p>
        </w:tc>
        <w:tc>
          <w:tcPr>
            <w:tcW w:w="709" w:type="dxa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850" w:type="dxa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4 233 131,31</w:t>
            </w:r>
          </w:p>
        </w:tc>
        <w:tc>
          <w:tcPr>
            <w:tcW w:w="2552" w:type="dxa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42 331,31</w:t>
            </w:r>
          </w:p>
        </w:tc>
        <w:tc>
          <w:tcPr>
            <w:tcW w:w="2409" w:type="dxa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4 190 800,00</w:t>
            </w:r>
          </w:p>
        </w:tc>
      </w:tr>
      <w:tr w:rsidR="001A2145" w:rsidRPr="001A2145" w:rsidTr="00C41E64">
        <w:tc>
          <w:tcPr>
            <w:tcW w:w="5920" w:type="dxa"/>
            <w:shd w:val="clear" w:color="auto" w:fill="auto"/>
          </w:tcPr>
          <w:p w:rsidR="001A2145" w:rsidRPr="001A2145" w:rsidRDefault="001A2145" w:rsidP="001A2145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850" w:type="dxa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30 483,76</w:t>
            </w:r>
          </w:p>
        </w:tc>
        <w:tc>
          <w:tcPr>
            <w:tcW w:w="2552" w:type="dxa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30 483,76</w:t>
            </w:r>
          </w:p>
        </w:tc>
        <w:tc>
          <w:tcPr>
            <w:tcW w:w="2409" w:type="dxa"/>
            <w:shd w:val="clear" w:color="auto" w:fill="auto"/>
          </w:tcPr>
          <w:p w:rsidR="001A2145" w:rsidRPr="001A2145" w:rsidRDefault="001A2145" w:rsidP="001A21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2145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</w:tbl>
    <w:p w:rsidR="001A2145" w:rsidRPr="001A2145" w:rsidRDefault="001A2145" w:rsidP="001A2145">
      <w:pPr>
        <w:jc w:val="both"/>
        <w:rPr>
          <w:rFonts w:eastAsia="Times New Roman" w:cs="Times New Roman"/>
          <w:szCs w:val="28"/>
          <w:lang w:eastAsia="ru-RU"/>
        </w:rPr>
      </w:pPr>
    </w:p>
    <w:p w:rsidR="001A2145" w:rsidRPr="001A2145" w:rsidRDefault="001A2145" w:rsidP="001A214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A2145">
        <w:rPr>
          <w:rFonts w:eastAsia="Times New Roman" w:cs="Times New Roman"/>
          <w:szCs w:val="28"/>
          <w:lang w:eastAsia="ru-RU"/>
        </w:rPr>
        <w:t>Примечание: департамент* − нераспределенный объем субсидии до определения получателей субсидии.</w:t>
      </w:r>
    </w:p>
    <w:p w:rsidR="00672112" w:rsidRPr="001A2145" w:rsidRDefault="00672112" w:rsidP="001A2145"/>
    <w:sectPr w:rsidR="00672112" w:rsidRPr="001A2145" w:rsidSect="001A2145">
      <w:headerReference w:type="default" r:id="rId6"/>
      <w:headerReference w:type="first" r:id="rId7"/>
      <w:pgSz w:w="16838" w:h="11906" w:orient="landscape" w:code="9"/>
      <w:pgMar w:top="1701" w:right="567" w:bottom="426" w:left="567" w:header="720" w:footer="720" w:gutter="0"/>
      <w:pgNumType w:start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58A" w:rsidRDefault="007F458A" w:rsidP="001A2145">
      <w:r>
        <w:separator/>
      </w:r>
    </w:p>
  </w:endnote>
  <w:endnote w:type="continuationSeparator" w:id="0">
    <w:p w:rsidR="007F458A" w:rsidRDefault="007F458A" w:rsidP="001A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58A" w:rsidRDefault="007F458A" w:rsidP="001A2145">
      <w:r>
        <w:separator/>
      </w:r>
    </w:p>
  </w:footnote>
  <w:footnote w:type="continuationSeparator" w:id="0">
    <w:p w:rsidR="007F458A" w:rsidRDefault="007F458A" w:rsidP="001A2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Pr="001A2145" w:rsidRDefault="009F0E6B">
    <w:pPr>
      <w:pStyle w:val="a4"/>
      <w:jc w:val="center"/>
      <w:rPr>
        <w:sz w:val="20"/>
      </w:rPr>
    </w:pPr>
    <w:r w:rsidRPr="001A2145">
      <w:rPr>
        <w:sz w:val="20"/>
      </w:rPr>
      <w:fldChar w:fldCharType="begin"/>
    </w:r>
    <w:r w:rsidRPr="001A2145">
      <w:rPr>
        <w:sz w:val="20"/>
      </w:rPr>
      <w:instrText>PAGE   \* MERGEFORMAT</w:instrText>
    </w:r>
    <w:r w:rsidRPr="001A2145">
      <w:rPr>
        <w:sz w:val="20"/>
      </w:rPr>
      <w:fldChar w:fldCharType="separate"/>
    </w:r>
    <w:r w:rsidR="006A2FD4">
      <w:rPr>
        <w:noProof/>
        <w:sz w:val="20"/>
      </w:rPr>
      <w:t>4</w:t>
    </w:r>
    <w:r w:rsidRPr="001A2145">
      <w:rPr>
        <w:sz w:val="20"/>
      </w:rPr>
      <w:fldChar w:fldCharType="end"/>
    </w:r>
  </w:p>
  <w:p w:rsidR="001C1788" w:rsidRDefault="009355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05" w:rsidRDefault="009F0E6B">
    <w:pPr>
      <w:pStyle w:val="a4"/>
      <w:jc w:val="center"/>
    </w:pPr>
    <w:r>
      <w:t>3</w:t>
    </w:r>
  </w:p>
  <w:p w:rsidR="002E1505" w:rsidRDefault="009355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45"/>
    <w:rsid w:val="001A2145"/>
    <w:rsid w:val="002B42F7"/>
    <w:rsid w:val="003B46E0"/>
    <w:rsid w:val="00672112"/>
    <w:rsid w:val="006A2FD4"/>
    <w:rsid w:val="007F458A"/>
    <w:rsid w:val="0093557E"/>
    <w:rsid w:val="009A1341"/>
    <w:rsid w:val="009F0E6B"/>
    <w:rsid w:val="00B7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6428743-464D-4519-BF70-0C300176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14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A2145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A2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A21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14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2017-12-11T12:27:00Z</cp:lastPrinted>
  <dcterms:created xsi:type="dcterms:W3CDTF">2017-12-14T10:49:00Z</dcterms:created>
  <dcterms:modified xsi:type="dcterms:W3CDTF">2017-12-14T10:49:00Z</dcterms:modified>
</cp:coreProperties>
</file>