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E8" w:rsidRDefault="000E1BE8" w:rsidP="00656C1A">
      <w:pPr>
        <w:spacing w:line="120" w:lineRule="atLeast"/>
        <w:jc w:val="center"/>
        <w:rPr>
          <w:sz w:val="24"/>
          <w:szCs w:val="24"/>
        </w:rPr>
      </w:pPr>
    </w:p>
    <w:p w:rsidR="000E1BE8" w:rsidRDefault="000E1BE8" w:rsidP="00656C1A">
      <w:pPr>
        <w:spacing w:line="120" w:lineRule="atLeast"/>
        <w:jc w:val="center"/>
        <w:rPr>
          <w:sz w:val="24"/>
          <w:szCs w:val="24"/>
        </w:rPr>
      </w:pPr>
    </w:p>
    <w:p w:rsidR="000E1BE8" w:rsidRPr="00852378" w:rsidRDefault="000E1BE8" w:rsidP="00656C1A">
      <w:pPr>
        <w:spacing w:line="120" w:lineRule="atLeast"/>
        <w:jc w:val="center"/>
        <w:rPr>
          <w:sz w:val="10"/>
          <w:szCs w:val="10"/>
        </w:rPr>
      </w:pPr>
    </w:p>
    <w:p w:rsidR="000E1BE8" w:rsidRDefault="000E1BE8" w:rsidP="00656C1A">
      <w:pPr>
        <w:spacing w:line="120" w:lineRule="atLeast"/>
        <w:jc w:val="center"/>
        <w:rPr>
          <w:sz w:val="10"/>
          <w:szCs w:val="24"/>
        </w:rPr>
      </w:pPr>
    </w:p>
    <w:p w:rsidR="000E1BE8" w:rsidRPr="005541F0" w:rsidRDefault="000E1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1BE8" w:rsidRPr="005541F0" w:rsidRDefault="000E1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1BE8" w:rsidRPr="005649E4" w:rsidRDefault="000E1BE8" w:rsidP="00656C1A">
      <w:pPr>
        <w:spacing w:line="120" w:lineRule="atLeast"/>
        <w:jc w:val="center"/>
        <w:rPr>
          <w:sz w:val="18"/>
          <w:szCs w:val="24"/>
        </w:rPr>
      </w:pPr>
    </w:p>
    <w:p w:rsidR="000E1BE8" w:rsidRPr="00656C1A" w:rsidRDefault="000E1B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1BE8" w:rsidRPr="005541F0" w:rsidRDefault="000E1BE8" w:rsidP="00656C1A">
      <w:pPr>
        <w:spacing w:line="120" w:lineRule="atLeast"/>
        <w:jc w:val="center"/>
        <w:rPr>
          <w:sz w:val="18"/>
          <w:szCs w:val="24"/>
        </w:rPr>
      </w:pPr>
    </w:p>
    <w:p w:rsidR="000E1BE8" w:rsidRPr="005541F0" w:rsidRDefault="000E1BE8" w:rsidP="00656C1A">
      <w:pPr>
        <w:spacing w:line="120" w:lineRule="atLeast"/>
        <w:jc w:val="center"/>
        <w:rPr>
          <w:sz w:val="20"/>
          <w:szCs w:val="24"/>
        </w:rPr>
      </w:pPr>
    </w:p>
    <w:p w:rsidR="000E1BE8" w:rsidRPr="00656C1A" w:rsidRDefault="000E1BE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1BE8" w:rsidRDefault="000E1BE8" w:rsidP="00656C1A">
      <w:pPr>
        <w:spacing w:line="120" w:lineRule="atLeast"/>
        <w:jc w:val="center"/>
        <w:rPr>
          <w:sz w:val="30"/>
          <w:szCs w:val="24"/>
        </w:rPr>
      </w:pPr>
    </w:p>
    <w:p w:rsidR="000E1BE8" w:rsidRPr="00656C1A" w:rsidRDefault="000E1BE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1BE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1BE8" w:rsidRPr="00F8214F" w:rsidRDefault="000E1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1BE8" w:rsidRPr="00F8214F" w:rsidRDefault="000710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1BE8" w:rsidRPr="00F8214F" w:rsidRDefault="000E1B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1BE8" w:rsidRPr="00F8214F" w:rsidRDefault="000710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E1BE8" w:rsidRPr="00A63FB0" w:rsidRDefault="000E1B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1BE8" w:rsidRPr="00A3761A" w:rsidRDefault="000710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1BE8" w:rsidRPr="00F8214F" w:rsidRDefault="000E1B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1BE8" w:rsidRPr="00F8214F" w:rsidRDefault="000E1BE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1BE8" w:rsidRPr="00AB4194" w:rsidRDefault="000E1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1BE8" w:rsidRPr="00F8214F" w:rsidRDefault="000710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</w:t>
            </w:r>
          </w:p>
        </w:tc>
      </w:tr>
    </w:tbl>
    <w:p w:rsidR="000E1BE8" w:rsidRDefault="000E1BE8" w:rsidP="000E1BE8">
      <w:pPr>
        <w:widowControl w:val="0"/>
        <w:autoSpaceDE w:val="0"/>
        <w:autoSpaceDN w:val="0"/>
        <w:adjustRightInd w:val="0"/>
        <w:ind w:right="318"/>
        <w:jc w:val="both"/>
        <w:rPr>
          <w:rFonts w:eastAsia="Times New Roman" w:cs="Times New Roman"/>
          <w:szCs w:val="28"/>
          <w:lang w:eastAsia="ru-RU"/>
        </w:rPr>
      </w:pPr>
    </w:p>
    <w:p w:rsid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Об утверждении плана мероприятий</w:t>
      </w:r>
    </w:p>
    <w:p w:rsid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(«дорожной карты») по строительству</w:t>
      </w:r>
    </w:p>
    <w:p w:rsid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общеобразовательных организаций </w:t>
      </w:r>
    </w:p>
    <w:p w:rsid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на территории муниципального </w:t>
      </w:r>
    </w:p>
    <w:p w:rsid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образования городской 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right="318"/>
        <w:rPr>
          <w:rFonts w:eastAsia="Times New Roman" w:cs="Times New Roman"/>
          <w:sz w:val="24"/>
          <w:szCs w:val="24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округ город Сургут </w:t>
      </w:r>
    </w:p>
    <w:p w:rsidR="000E1BE8" w:rsidRDefault="000E1BE8" w:rsidP="00C725A6">
      <w:pPr>
        <w:rPr>
          <w:rFonts w:cs="Times New Roman"/>
          <w:szCs w:val="28"/>
        </w:rPr>
      </w:pPr>
    </w:p>
    <w:p w:rsidR="000E1BE8" w:rsidRPr="000E1BE8" w:rsidRDefault="000E1BE8" w:rsidP="00C725A6">
      <w:pPr>
        <w:rPr>
          <w:rFonts w:cs="Times New Roman"/>
          <w:szCs w:val="28"/>
        </w:rPr>
      </w:pP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" w:name="sub_1000"/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Во исполнение распоряжения Правительства Российской Федерации                           от 23.10.2015 № 2145-р «О программе «Содействие созданию в субъектах                         Российской Федерации (исходя из прогнозируемой потребности) новых мест                      в общеобразовательных организациях» на 2016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2025 годы»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поручения                               Губернатора Ханты-Мансийского автономного округа – Югры Комаровой Н.В.                            от 29.12.2017, в целях реализации постановления Правительства Ханты-Мансийского автономного округа – Югры от 09.10.2013 № 413-п «О государственной           программе Ханты-Мансийского автономного округа – Югры «Развитие образования в Ханты-Мансийском автономном округе – Югре на 2018 – 2025 годы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и на период до 2030 года»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 в соответствии с распоряжениями Администрации города от 30.12.2005 № 3686 «Об утверждении Регламента Администрации                         города», от 10.01.2017 № 01 «О передаче некоторых полномочий высшим должностным лицам Администрации города»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1. Утвердить план мероприятий («дорожная карта») по строительству                       общеобразовательных организаций на территории муниципального образования городской округ город Сургут </w:t>
      </w:r>
      <w:r w:rsidRPr="000E1BE8">
        <w:rPr>
          <w:rFonts w:eastAsia="Times New Roman" w:cs="Times New Roman"/>
          <w:szCs w:val="28"/>
          <w:lang w:eastAsia="ru-RU"/>
        </w:rPr>
        <w:t xml:space="preserve">в соответствии с государственной программой Ханты-Мансийского автономного округа – Югры «Развитие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E1BE8">
        <w:rPr>
          <w:rFonts w:eastAsia="Times New Roman" w:cs="Times New Roman"/>
          <w:szCs w:val="28"/>
          <w:lang w:eastAsia="ru-RU"/>
        </w:rPr>
        <w:t xml:space="preserve">в Ханты-Мансийском автономном округе – Югре на 2018 – 2025 годы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0E1BE8">
        <w:rPr>
          <w:rFonts w:eastAsia="Times New Roman" w:cs="Times New Roman"/>
          <w:szCs w:val="28"/>
          <w:lang w:eastAsia="ru-RU"/>
        </w:rPr>
        <w:t>и на период до 2030 года»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согласно приложению.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2. Ответственным структурным подразделениям Администрации города обеспечить реализацию плана мероприятий («дорожная карта»)                                                 по строительству общеобразовательных организаций на территории муниципального образования городской округ город Сургут.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3. Рабочей группе по вопросу строительства объектов общеобразовате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льных учреждений и быстровозводимых спортивных сооружений на территории 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города Сургута, созданной распоряжением Администрации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 03.10.2017 № 1747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3.1. Обеспечить координацию деятельности структурных подразделений Администрации города по проведению мероприятий, направленных на обеспечение строительства общеобразовательных организаций на территории города.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03F7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3.2. Обеспечить сопровождение информационной кампании среди потенциа</w:t>
      </w:r>
      <w:r w:rsidR="005903F7" w:rsidRPr="005903F7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-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льных инвесторов по разъяснению механизма реализации государственной                      программы Ханты-Мансийского автономного округа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r w:rsidR="005903F7">
        <w:rPr>
          <w:rFonts w:eastAsia="Times New Roman" w:cs="Times New Roman"/>
          <w:color w:val="000000" w:themeColor="text1"/>
          <w:szCs w:val="28"/>
          <w:lang w:eastAsia="ru-RU"/>
        </w:rPr>
        <w:t>Югры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«Развитие образования в Ханты-Мансийском автономном округе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Югре на 2018 – 2025 годы                                и на период до 2030 года».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3.3. Обеспечить проведение адресной работы с потенциальными инвесторами по обсуждению условий и положений концессионных соглашений                                по созданию объектов образования, по процедуре выкупа образовательных            учреждений, созданных в рамках государственной программы Ханты-Мансийского автономного округа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Югры «Развитие образования в Ханты-Мансийском автономном округе – Югре на 2018 – 2025 годы и на период до 2030 года».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3.4. Инициировать внесение соответствующих изменений в бюджет                                   муниципального образования городской округ город Сургут в целях обеспе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чения финансирования создания объектов образования в соответствии с заключенными соглашениями по созданию объектов образования в рамках государ</w:t>
      </w:r>
      <w:r w:rsidRPr="000E1BE8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ственной программы Ханты-Мансийского автономного округа – Югры «Развитие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образования в Ханты-Мансийском автономном округе – Югре на 2018 – </w:t>
      </w:r>
      <w:r w:rsidR="006D58D0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 xml:space="preserve">2025 годы и на период до 2030 года».  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4. Заместителю Главы города Пелевину А.Р. подготовить проектные инициативы на создание объектов образования для рассмотрения их на заседании                   Проектного комитета Администрации города с целью запуска проектов по строительству общеобразовательных организаций на территории муниципального образования городской округ город Сургут согласно приложению.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0E1BE8">
        <w:rPr>
          <w:rFonts w:eastAsia="Times New Roman" w:cs="Times New Roman"/>
          <w:color w:val="000000" w:themeColor="text1"/>
          <w:szCs w:val="28"/>
          <w:lang w:eastAsia="ru-RU"/>
        </w:rPr>
        <w:t>6. Контроль за выполнением распоряжения оставляю за собой</w:t>
      </w:r>
      <w:r w:rsidRPr="000E1BE8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0E1BE8" w:rsidRPr="000E1BE8" w:rsidRDefault="000E1BE8" w:rsidP="000E1BE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</w:pPr>
    </w:p>
    <w:p w:rsidR="000E1BE8" w:rsidRDefault="000E1BE8" w:rsidP="000E1BE8">
      <w:pPr>
        <w:ind w:firstLine="567"/>
        <w:rPr>
          <w:rFonts w:eastAsia="Times New Roman" w:cs="Times New Roman"/>
          <w:szCs w:val="28"/>
          <w:lang w:eastAsia="ru-RU"/>
        </w:rPr>
        <w:sectPr w:rsidR="000E1BE8" w:rsidSect="00256D4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1BE8" w:rsidRPr="000E1BE8" w:rsidRDefault="000E1BE8" w:rsidP="005903F7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E1BE8" w:rsidRPr="000E1BE8" w:rsidRDefault="000E1BE8" w:rsidP="005903F7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к распоряжению</w:t>
      </w:r>
    </w:p>
    <w:p w:rsidR="000E1BE8" w:rsidRPr="000E1BE8" w:rsidRDefault="000E1BE8" w:rsidP="005903F7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E1BE8" w:rsidRPr="000E1BE8" w:rsidRDefault="000E1BE8" w:rsidP="005903F7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</w:t>
      </w:r>
      <w:r w:rsidRPr="000E1BE8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1BE8">
        <w:rPr>
          <w:rFonts w:eastAsia="Times New Roman" w:cs="Times New Roman"/>
          <w:szCs w:val="28"/>
          <w:lang w:eastAsia="ru-RU"/>
        </w:rPr>
        <w:t xml:space="preserve">________ 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План мероприятий («дорожная карта») 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по строительству общеобразовательных организаций </w:t>
      </w:r>
    </w:p>
    <w:p w:rsidR="005903F7" w:rsidRDefault="000E1BE8" w:rsidP="000E1BE8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 xml:space="preserve">на территории муниципального образования городской округ город Сургут в соответствии с государственной программой Ханты-Мансийского автономного округа – Югры «Развитие образования в Ханты-Мансийском автономном округе – Югре 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  <w:r w:rsidRPr="000E1BE8">
        <w:rPr>
          <w:rFonts w:eastAsia="Times New Roman" w:cs="Times New Roman"/>
          <w:szCs w:val="28"/>
          <w:lang w:eastAsia="ru-RU"/>
        </w:rPr>
        <w:t>на 2018 – 2025 годы и на период до 2030 года»</w:t>
      </w:r>
      <w:r>
        <w:rPr>
          <w:rFonts w:eastAsia="Times New Roman" w:cs="Times New Roman"/>
          <w:szCs w:val="28"/>
          <w:lang w:eastAsia="ru-RU"/>
        </w:rPr>
        <w:t xml:space="preserve"> (далее – п</w:t>
      </w:r>
      <w:r w:rsidRPr="000E1BE8">
        <w:rPr>
          <w:rFonts w:eastAsia="Times New Roman" w:cs="Times New Roman"/>
          <w:szCs w:val="28"/>
          <w:lang w:eastAsia="ru-RU"/>
        </w:rPr>
        <w:t>рограмма)</w:t>
      </w:r>
    </w:p>
    <w:p w:rsidR="000E1BE8" w:rsidRPr="000E1BE8" w:rsidRDefault="000E1BE8" w:rsidP="000E1BE8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701"/>
        <w:gridCol w:w="2126"/>
        <w:gridCol w:w="5812"/>
        <w:gridCol w:w="1559"/>
        <w:gridCol w:w="2381"/>
      </w:tblGrid>
      <w:tr w:rsidR="000E1BE8" w:rsidRPr="000E1BE8" w:rsidTr="000E1BE8">
        <w:tc>
          <w:tcPr>
            <w:tcW w:w="880" w:type="dxa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строительства, источники финансирования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(по программе)</w:t>
            </w:r>
          </w:p>
        </w:tc>
        <w:tc>
          <w:tcPr>
            <w:tcW w:w="2126" w:type="dxa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земельном участке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(кадастровый номер, площадь,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договоре аренды)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0E1BE8" w:rsidRPr="000E1BE8" w:rsidTr="000E1BE8">
        <w:trPr>
          <w:trHeight w:val="1082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20А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2018 – 2020,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86:01:0101035:527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(21 614), договор аренды от 28.07.2017 № 174 с обществом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ограниченной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ответственностью (далее – ООО) «Юграпромстрой», обременен балками (под снос)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департамент </w:t>
            </w: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архитектуры и градостроительства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ДАиГ),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 (далее – ДГХ)</w:t>
            </w:r>
          </w:p>
        </w:tc>
      </w:tr>
      <w:tr w:rsidR="000E1BE8" w:rsidRPr="000E1BE8" w:rsidTr="000E1BE8">
        <w:trPr>
          <w:trHeight w:val="492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ДАиГ, ДГХ, ресурсоснабжающие организации </w:t>
            </w: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(далее – РСО)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13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Расторжение договора аренды по соглашению сторон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 установленном законодательством Российской Федерации (далее –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Р.Е. Меркулов, 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комитет по земельным 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отношениям 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(далее – КЗО), правовое управление 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(далее – ПУ), арендатор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843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экономики и стратегического планирования 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(далее – УЭиСП), департамент образования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ДО), ДАиГ</w:t>
            </w:r>
          </w:p>
        </w:tc>
      </w:tr>
      <w:tr w:rsidR="000E1BE8" w:rsidRPr="000E1BE8" w:rsidTr="000E1BE8">
        <w:trPr>
          <w:trHeight w:val="47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Предоставление земельного участка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города Р.Е. Меркулов,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0E1BE8" w:rsidRPr="000E1BE8" w:rsidTr="000E1BE8">
        <w:trPr>
          <w:trHeight w:val="41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муниципальное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казенное учреждение «Управление капитального строительства»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МКУ «УКС»)</w:t>
            </w:r>
          </w:p>
        </w:tc>
      </w:tr>
      <w:tr w:rsidR="000E1BE8" w:rsidRPr="000E1BE8" w:rsidTr="000E1BE8">
        <w:trPr>
          <w:trHeight w:val="65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Департамент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образования и молодежной политики Ханты-Мансийского автономного округа – Югры (далее – ДОиМП ХМАО – Югры)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выделение субсидии из бюджета Ханты-Мансийского автономного округа – Югры (далее – бюджет автономного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УЭиСП, ДО,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финансов (далее – ДФ)</w:t>
            </w:r>
          </w:p>
        </w:tc>
      </w:tr>
      <w:tr w:rsidR="000E1BE8" w:rsidRPr="000E1BE8" w:rsidTr="000E1BE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Н.Н. Кривцов,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ДО, ДАиГ, МКУ «УКС», ДГХ, комитет по управлению имуществом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(далее – КУИ)</w:t>
            </w:r>
          </w:p>
        </w:tc>
      </w:tr>
      <w:tr w:rsidR="000E1BE8" w:rsidRPr="000E1BE8" w:rsidTr="000E1BE8">
        <w:trPr>
          <w:trHeight w:val="502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34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2018 – 2020, 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86:10:0101195:986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(22 763)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мероприятий по обеспечению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 ДАиГ, ДГХ</w:t>
            </w:r>
          </w:p>
        </w:tc>
      </w:tr>
      <w:tr w:rsidR="000E1BE8" w:rsidRPr="000E1BE8" w:rsidTr="000E1BE8">
        <w:trPr>
          <w:trHeight w:val="27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Реализация мероприятий по обеспечению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ДАиГ, ДГХ, РСО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83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формы финансового обеспечения объекта, с «внебюджетные источники (выкуп)»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</w:tc>
      </w:tr>
      <w:tr w:rsidR="000E1BE8" w:rsidRPr="000E1BE8" w:rsidTr="000E1BE8">
        <w:trPr>
          <w:trHeight w:val="52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Подготовка проекта концессионного соглашения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ДГХ, ДАиГ, КЗО, ПУ</w:t>
            </w:r>
          </w:p>
        </w:tc>
      </w:tr>
      <w:tr w:rsidR="000E1BE8" w:rsidRPr="000E1BE8" w:rsidTr="000E1BE8">
        <w:trPr>
          <w:trHeight w:val="64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01.05.2018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141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принятия решения о возможности заключения концессионного соглашения комиссией по рассмотрению вопросов </w:t>
            </w:r>
          </w:p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ХМАО-Югры,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со ст. 37 Федерального закона от 21.07.2005 № 115-ФЗ «О конце-ссионных соглашениях» (далее – ФЗ-115) и предоставлении </w:t>
            </w:r>
          </w:p>
          <w:p w:rsidR="000E1BE8" w:rsidRPr="000E1BE8" w:rsidRDefault="000E1BE8" w:rsidP="005903F7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земельного участка 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</w:tc>
      </w:tr>
      <w:tr w:rsidR="000E1BE8" w:rsidRPr="000E1BE8" w:rsidTr="000E1BE8">
        <w:trPr>
          <w:trHeight w:val="42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</w:t>
            </w:r>
          </w:p>
        </w:tc>
      </w:tr>
      <w:tr w:rsidR="000E1BE8" w:rsidRPr="000E1BE8" w:rsidTr="000E1BE8">
        <w:trPr>
          <w:trHeight w:val="41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Главы г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орода Н.Н. Кривцов,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508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30А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2018 – 2020,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сформирован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24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24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Формирование земельного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Р.Е. Меркулов,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  <w:tr w:rsidR="000E1BE8" w:rsidRPr="000E1BE8" w:rsidTr="000E1BE8">
        <w:trPr>
          <w:trHeight w:val="24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обращения в Правительство Ханты-Мансийского автономного округа – Югры об изменении сроков создания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(2019 – 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</w:tc>
      </w:tr>
      <w:tr w:rsidR="000E1BE8" w:rsidRPr="000E1BE8" w:rsidTr="000E1BE8">
        <w:trPr>
          <w:trHeight w:val="66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01.08.2018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132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принятия решения о возможности заключения концессионного соглашения комиссией по рассмотрению вопросов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53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543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580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районе 24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2018 – 2020,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не сформирован.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Обременение 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29 балков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Р.Е. Меркулов,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58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65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сроков создания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(2019 – 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01.02.2018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</w:tc>
      </w:tr>
      <w:tr w:rsidR="000E1BE8" w:rsidRPr="000E1BE8" w:rsidTr="000E1BE8">
        <w:trPr>
          <w:trHeight w:val="51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Принятие мер по снятию обременений (расселение и снос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балков)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Н.Н.Кривцов,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ДГХ, ПУ</w:t>
            </w: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Формирование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</w:tbl>
    <w:p w:rsidR="000E1BE8" w:rsidRDefault="000E1BE8"/>
    <w:p w:rsidR="000E1BE8" w:rsidRDefault="000E1BE8"/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701"/>
        <w:gridCol w:w="2126"/>
        <w:gridCol w:w="5812"/>
        <w:gridCol w:w="1559"/>
        <w:gridCol w:w="2381"/>
      </w:tblGrid>
      <w:tr w:rsidR="000E1BE8" w:rsidRPr="000E1BE8" w:rsidTr="000E1BE8">
        <w:trPr>
          <w:trHeight w:val="278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Подготовка проекта концессионного соглашения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55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После получения заключения о возможности заключения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концессионного соглашения комиссией по рассмотрению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вопросов о предоставлении субсидии из бюджета автономного округа при ДОиМП ХМАО – Югры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главой 3 ФЗ-115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40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01.11.2021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35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10. Передача в муниципальную собственность и начало эксплуа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Н.Н. Кривцов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747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35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2018 – 2020,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86:10:0101154:16</w:t>
            </w:r>
          </w:p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(23 077), частная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ООО «Брусника»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 вариант: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493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42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3. Проведение процедуры передачи земельного участка в муниципальную собственность,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111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</w:t>
            </w:r>
          </w:p>
          <w:p w:rsidR="005903F7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предмет эффективности использования средств бюджета 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автономного округа, направляемых на капитальные вложения,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для реализации проекта по созданию объекта образования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(в течении 30 дней после передачи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01.08.2018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УЭиСП, ДО, ДАиГ </w:t>
            </w:r>
          </w:p>
        </w:tc>
      </w:tr>
      <w:tr w:rsidR="000E1BE8" w:rsidRPr="000E1BE8" w:rsidTr="000E1BE8">
        <w:trPr>
          <w:trHeight w:val="27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Предоставление земельного участка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0E1BE8" w:rsidRPr="000E1BE8" w:rsidTr="000E1BE8">
        <w:trPr>
          <w:trHeight w:val="39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13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0E1BE8" w:rsidRPr="000E1BE8" w:rsidTr="000E1BE8">
        <w:trPr>
          <w:trHeight w:val="56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Передача объекта в муниципальную собственность и начало 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73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 вариант: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города Р.Е. Меркулов,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47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47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сроков создания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(2019 – 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83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Проведение процедуры передачи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83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В случае направления обращения инвестора с частной инициативой о заключении концессионного соглашения, подготовка </w:t>
            </w:r>
          </w:p>
          <w:p w:rsidR="000E1BE8" w:rsidRPr="000E1BE8" w:rsidRDefault="000E1BE8" w:rsidP="005903F7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обращения в Правительство Ханты-Мансийского автономного округа – Югры об изменении формы финансового обеспечения объекта с «внебюджетные источники (выкуп)»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01.08.2018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41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Подготовка проекта концессионного соглашения и конкур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61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01.10.2018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91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После получения заключения о возможности заключения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по заклю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чению концессионного соглашения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01.08.2021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54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10.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5903F7" w:rsidRPr="000E1BE8" w:rsidTr="000E1BE8">
        <w:trPr>
          <w:trHeight w:val="70"/>
        </w:trPr>
        <w:tc>
          <w:tcPr>
            <w:tcW w:w="880" w:type="dxa"/>
            <w:vMerge w:val="restart"/>
            <w:shd w:val="clear" w:color="auto" w:fill="auto"/>
          </w:tcPr>
          <w:p w:rsidR="005903F7" w:rsidRPr="000E1BE8" w:rsidRDefault="005903F7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42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2018 – 2020, 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86:10:0101129:12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(26 455), договор аренды от 16.02.2016 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№ 43 с ООО УК «Центр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Менеджмент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ДУЗПИФН Сибпромстрой Недвижимость (Югория) в рамках комплексного осво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ения 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5903F7" w:rsidRPr="000E1BE8" w:rsidTr="000E1BE8">
        <w:trPr>
          <w:trHeight w:val="559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5903F7" w:rsidRPr="000E1BE8" w:rsidTr="000E1BE8">
        <w:trPr>
          <w:trHeight w:val="555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заключения о проверке инвестиционного проекта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УЭиСП, ДО, ДАиГ  </w:t>
            </w:r>
          </w:p>
        </w:tc>
      </w:tr>
      <w:tr w:rsidR="005903F7" w:rsidRPr="000E1BE8" w:rsidTr="000E1BE8">
        <w:trPr>
          <w:trHeight w:val="13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5903F7" w:rsidRPr="000E1BE8" w:rsidTr="000E1BE8">
        <w:trPr>
          <w:trHeight w:val="377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5903F7" w:rsidRPr="000E1BE8" w:rsidTr="000E1BE8">
        <w:trPr>
          <w:trHeight w:val="549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559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43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990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2019 – 2021,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86:10:0101226:695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(23 177), частная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ООО «Дорожно-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эксплуатационное предприятие», обременен гаражами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 вариант: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55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27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Проведение процедуры передачи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01.11.2019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5903F7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93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на предмет эффективности использования средств бюджета автономного округа, направляемых на капитальные вложения,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для реализации проекта по созданию объекта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40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Предоставление земельного участка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0E1BE8" w:rsidRPr="000E1BE8" w:rsidTr="000E1BE8">
        <w:trPr>
          <w:trHeight w:val="412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13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0E1BE8" w:rsidRPr="000E1BE8" w:rsidTr="000E1BE8">
        <w:trPr>
          <w:trHeight w:val="42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01.09.2022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ДО, ДАиГ, ДГХ,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76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 вариант: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 ДАиГ,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ДГХ</w:t>
            </w:r>
          </w:p>
        </w:tc>
      </w:tr>
      <w:tr w:rsidR="000E1BE8" w:rsidRPr="000E1BE8" w:rsidTr="000E1BE8">
        <w:trPr>
          <w:trHeight w:val="54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54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Проведение процедуры передачи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Р.Е. Меркулов, </w:t>
            </w:r>
          </w:p>
          <w:p w:rsidR="005903F7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5903F7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84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При обращении инвестора с частной инициативой о заклю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чении концессионного со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глашения ранее указанного срока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подготовка обращения в Правительство Ханты-Мансийского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автономного округа – Югры об изменении формы 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финансового обеспечения объекта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«внебюджетные источники (выкуп)»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Подготовка проекта концессионного соглашения и конкур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75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54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получения заключения о возможности заключения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концессионного соглашения комиссией по рассмотрению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вопросов о предоставлении субсидии из бюджета Ханты-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Мансийского автономного округа – Югры при ДОиМП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проведение мероприятий по заключению </w:t>
            </w:r>
          </w:p>
          <w:p w:rsidR="005903F7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 в соответствии с главой 3 ФЗ-115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 предоставлении земельного участка в соответствии с усло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01.05.2020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54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Проектирование и строительство объекта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54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Н.Н. Кривцов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749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38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2019 – 2021,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86:10:0101131:42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(24 232)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 ДГХ</w:t>
            </w:r>
          </w:p>
        </w:tc>
      </w:tr>
      <w:tr w:rsidR="000E1BE8" w:rsidRPr="000E1BE8" w:rsidTr="000E1BE8">
        <w:trPr>
          <w:trHeight w:val="64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56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5903F7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формы финансового обеспечения объекта с «внебюджетные источники (выкуп)»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19.02.2019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56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обращения в Правительство Ханты-Мансийского автономного округа – Югры об изменении сроков создания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(2018 – 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42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Подготовка проекта концессионного соглашения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ДГХ, ДАиГ, КЗО, ПУ</w:t>
            </w:r>
          </w:p>
        </w:tc>
      </w:tr>
      <w:tr w:rsidR="000E1BE8" w:rsidRPr="000E1BE8" w:rsidTr="000E1BE8">
        <w:trPr>
          <w:trHeight w:val="412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0E1BE8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</w:t>
            </w:r>
            <w:r w:rsidR="000E1BE8"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соответствии с процедурой по заключению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01.04.2018 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13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получения заключения о возможности заключения </w:t>
            </w:r>
          </w:p>
          <w:p w:rsidR="000E1BE8" w:rsidRPr="000E1BE8" w:rsidRDefault="000E1BE8" w:rsidP="005903F7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концессионного соглашения комиссией по рассмотрению вопросов о предоставлении субсидии из бюджета автономного округа при ДОиМП ХМАО – Югры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</w:tc>
      </w:tr>
      <w:tr w:rsidR="000E1BE8" w:rsidRPr="000E1BE8" w:rsidTr="000E1BE8">
        <w:trPr>
          <w:trHeight w:val="55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</w:tr>
      <w:tr w:rsidR="000E1BE8" w:rsidRPr="000E1BE8" w:rsidTr="000E1BE8">
        <w:trPr>
          <w:trHeight w:val="49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513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№ 9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микрорайоне 39. Блок 2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550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2020 – 2022,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86:10:0101025:19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(16 930), правами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третьих лиц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 обременен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ДГХ</w:t>
            </w:r>
          </w:p>
        </w:tc>
      </w:tr>
      <w:tr w:rsidR="000E1BE8" w:rsidRPr="000E1BE8" w:rsidTr="000E1BE8">
        <w:trPr>
          <w:trHeight w:val="70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41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3. Подготовка проекта концессионного соглашения и конку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56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70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После принятия решения о возможности заключения концессионного соглашения комиссией по рассмотрению вопросов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 предоставлении субсидии из бюджета автономного округа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55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56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7. Передача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346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10*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образователь-ного комплекса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44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1200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2020 – 2023, бюджет автономного округа, местный бюджет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86:10:0101125:454, частная собственность ООО «Север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Строй Партнер»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68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Проведение процедуры передачи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обращения в Правительство Ханты-Мансийского автономного округа – Югры об изменении формы финансового обеспечения 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>объекта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«бюджет автономного округа, местный бюджет» 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01.10.2019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40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Подготовка проекта концессионного соглашения и конку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732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59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принятии решения о возможности заключения концессионного соглашения комиссией по рассмотрению вопросов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01.05.2020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53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01.11.2022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</w:tr>
      <w:tr w:rsidR="000E1BE8" w:rsidRPr="000E1BE8" w:rsidTr="000E1BE8">
        <w:trPr>
          <w:trHeight w:val="27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278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11*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микрорайоне 31Б. Блок 2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990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2020 – 2022,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86:10:0101250:2052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(17 190), договор аренды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21.04.2016 № 118 </w:t>
            </w:r>
          </w:p>
          <w:p w:rsidR="005903F7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 ООО «Дорожно-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эксплуатационное предприятие»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47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E1BE8" w:rsidRPr="000E1BE8" w:rsidTr="000E1BE8">
        <w:trPr>
          <w:trHeight w:val="48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заключения о проверке инвестиционного проекта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УЭиСП, ДО, ДАиГ </w:t>
            </w:r>
          </w:p>
        </w:tc>
      </w:tr>
      <w:tr w:rsidR="000E1BE8" w:rsidRPr="000E1BE8" w:rsidTr="000E1BE8">
        <w:trPr>
          <w:trHeight w:val="520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315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0E1BE8" w:rsidRPr="000E1BE8" w:rsidTr="000E1BE8">
        <w:trPr>
          <w:trHeight w:val="42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375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12*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5А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1500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2020 – 2022,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86:10:0101115:6275 (28 738), обременен 525 гаражами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(под снос)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72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РСО (по согласованию)</w:t>
            </w:r>
          </w:p>
        </w:tc>
      </w:tr>
      <w:tr w:rsidR="000E1BE8" w:rsidRPr="000E1BE8" w:rsidTr="000E1BE8">
        <w:trPr>
          <w:trHeight w:val="248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3. Принятие мер по снятию обременений (снос гаражей)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-102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ПУ, ДГХ</w:t>
            </w:r>
          </w:p>
        </w:tc>
      </w:tr>
      <w:tr w:rsidR="000E1BE8" w:rsidRPr="000E1BE8" w:rsidTr="000E1BE8">
        <w:trPr>
          <w:trHeight w:val="39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Подготовка проекта концессионного соглашения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01.02.2019</w:t>
            </w:r>
          </w:p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0E1BE8" w:rsidRPr="000E1BE8" w:rsidTr="000E1BE8">
        <w:trPr>
          <w:trHeight w:val="64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Югры в соответствии с процедурой по заключению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01.02.2019</w:t>
            </w: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1056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принятии решения о возможности заключения концессионного соглашения комиссией по рассмотрению вопросов </w:t>
            </w:r>
          </w:p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0E1BE8" w:rsidRPr="000E1BE8" w:rsidRDefault="000E1BE8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Югры,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BE8" w:rsidRPr="000E1BE8" w:rsidTr="000E1BE8">
        <w:trPr>
          <w:trHeight w:val="454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473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5903F7" w:rsidRPr="000E1BE8" w:rsidTr="000E1BE8">
        <w:trPr>
          <w:trHeight w:val="738"/>
        </w:trPr>
        <w:tc>
          <w:tcPr>
            <w:tcW w:w="880" w:type="dxa"/>
            <w:vMerge w:val="restart"/>
            <w:shd w:val="clear" w:color="auto" w:fill="auto"/>
          </w:tcPr>
          <w:p w:rsidR="005903F7" w:rsidRPr="000E1BE8" w:rsidRDefault="005903F7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– 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детского сада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45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(мощность – 300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2021 – 2023, 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86:10:0101227:388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(17 247), договор аренды </w:t>
            </w:r>
          </w:p>
          <w:p w:rsidR="005903F7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22.09.2017 № 209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ООО «Новые 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Бизнес –Технологии»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 вариант: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5903F7" w:rsidRPr="000E1BE8" w:rsidTr="000E1BE8">
        <w:trPr>
          <w:trHeight w:val="550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5903F7" w:rsidRPr="000E1BE8" w:rsidTr="000E1BE8">
        <w:trPr>
          <w:trHeight w:val="550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Направление в Правительство округа обращения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 необходимости переноса даты строительства объекта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на период 2018 – 2020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15.02.2018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5903F7" w:rsidRPr="000E1BE8" w:rsidTr="000E1BE8">
        <w:trPr>
          <w:trHeight w:val="550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Расторжение договора аренды по соглашению сторон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КЗО, ПУ, арендатор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5903F7" w:rsidRPr="000E1BE8" w:rsidTr="000E1BE8">
        <w:trPr>
          <w:trHeight w:val="537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Подготовка заключения о проверке инвестиционного проекта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</w:t>
            </w:r>
          </w:p>
        </w:tc>
      </w:tr>
      <w:tr w:rsidR="005903F7" w:rsidRPr="000E1BE8" w:rsidTr="000E1BE8">
        <w:trPr>
          <w:trHeight w:val="418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Предоставление земельного участка 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орода Р.Е. Меркулов,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5903F7" w:rsidRPr="000E1BE8" w:rsidTr="000E1BE8">
        <w:trPr>
          <w:trHeight w:val="481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5903F7" w:rsidRPr="000E1BE8" w:rsidTr="000E1BE8">
        <w:trPr>
          <w:trHeight w:val="134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Направление заявки Администрации города в ДОиМП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01.07.2020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5903F7" w:rsidRPr="000E1BE8" w:rsidTr="000E1BE8">
        <w:trPr>
          <w:trHeight w:val="398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ДО, ДАиГ, МКУ «УКС», ДГХ, КУИ </w:t>
            </w:r>
          </w:p>
        </w:tc>
      </w:tr>
      <w:tr w:rsidR="005903F7" w:rsidRPr="000E1BE8" w:rsidTr="000E1BE8">
        <w:trPr>
          <w:trHeight w:val="653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 вариант: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5903F7" w:rsidRPr="000E1BE8" w:rsidTr="000E1BE8">
        <w:trPr>
          <w:trHeight w:val="65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5903F7" w:rsidRPr="000E1BE8" w:rsidTr="000E1BE8">
        <w:trPr>
          <w:trHeight w:val="65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Направление в Правительство округа обращения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 необходимости переноса даты строительства объекта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на период 2018 – 2020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15.02.2018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5903F7" w:rsidRPr="000E1BE8" w:rsidTr="000E1BE8">
        <w:trPr>
          <w:trHeight w:val="65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Расторжение договора аренды по соглашению сторон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 установленном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КЗО, ПУ, арендатор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5903F7" w:rsidRPr="000E1BE8" w:rsidTr="000E1BE8">
        <w:trPr>
          <w:trHeight w:val="27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5. При обращении инвестора с частной инициативой о заклю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03F7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чении концессионного соглашения, направление об изменении формы финансового обеспечения объекта, с «внебюджетные </w:t>
            </w:r>
          </w:p>
          <w:p w:rsidR="005903F7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(выкуп)» на «внебюджетные источники (концесси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03F7" w:rsidRPr="000E1BE8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-101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  <w:p w:rsidR="005903F7" w:rsidRPr="000E1BE8" w:rsidRDefault="005903F7" w:rsidP="000E1BE8">
            <w:pPr>
              <w:widowControl w:val="0"/>
              <w:tabs>
                <w:tab w:val="left" w:pos="-101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Pr="000E1BE8" w:rsidRDefault="005903F7" w:rsidP="000E1BE8">
            <w:pPr>
              <w:widowControl w:val="0"/>
              <w:tabs>
                <w:tab w:val="left" w:pos="-101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  <w:p w:rsidR="005903F7" w:rsidRPr="000E1BE8" w:rsidRDefault="005903F7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03F7" w:rsidRPr="000E1BE8" w:rsidTr="000E1BE8">
        <w:trPr>
          <w:trHeight w:val="506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Подготовка проекта концессионного соглашения и конку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5903F7" w:rsidRPr="000E1BE8" w:rsidRDefault="005903F7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КЗО, ДАиГ, ДГХ, ПУ</w:t>
            </w:r>
          </w:p>
        </w:tc>
      </w:tr>
      <w:tr w:rsidR="005903F7" w:rsidRPr="000E1BE8" w:rsidTr="000E1BE8">
        <w:trPr>
          <w:trHeight w:val="701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Югры,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5903F7" w:rsidRPr="000E1BE8" w:rsidTr="000E1BE8">
        <w:trPr>
          <w:trHeight w:val="132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После принятии решения о возможности заключения концессионного соглашения комиссией по рассмотрению вопросов </w:t>
            </w:r>
          </w:p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5903F7" w:rsidRPr="000E1BE8" w:rsidRDefault="005903F7" w:rsidP="005903F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01.10.2018</w:t>
            </w:r>
          </w:p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03F7" w:rsidRPr="000E1BE8" w:rsidRDefault="005903F7" w:rsidP="000E1BE8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03F7" w:rsidRPr="000E1BE8" w:rsidTr="000E1BE8">
        <w:trPr>
          <w:trHeight w:val="512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9.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5903F7" w:rsidRPr="000E1BE8" w:rsidTr="000E1BE8">
        <w:trPr>
          <w:trHeight w:val="560"/>
        </w:trPr>
        <w:tc>
          <w:tcPr>
            <w:tcW w:w="880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03F7" w:rsidRPr="000E1BE8" w:rsidRDefault="005903F7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10.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Pr="000E1BE8" w:rsidRDefault="005903F7" w:rsidP="000E1BE8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F7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5903F7" w:rsidRPr="000E1BE8" w:rsidRDefault="005903F7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5903F7" w:rsidRPr="000E1BE8" w:rsidRDefault="005903F7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0E1BE8" w:rsidRPr="000E1BE8" w:rsidTr="000E1BE8">
        <w:trPr>
          <w:trHeight w:val="921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районе 16А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2021 – 2023,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86:10:0101022:102 (15 098), муниципа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льная собственность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возможности реализации инвестиционного проекта на данном земельном участке (близость располо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жения мест временного содержания для иностранных граждан, обеспечение специальных технических условий)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  <w:tr w:rsidR="000E1BE8" w:rsidRPr="000E1BE8" w:rsidTr="000E1BE8">
        <w:trPr>
          <w:trHeight w:val="76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После принятия решения о возможности, типе, мощност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5903F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сроках реализации проекта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подготовить соответствующее </w:t>
            </w:r>
          </w:p>
          <w:p w:rsidR="000E1BE8" w:rsidRPr="000E1BE8" w:rsidRDefault="000E1BE8" w:rsidP="000E1BE8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обращение в ДОиМП ХМАО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399"/>
        </w:trPr>
        <w:tc>
          <w:tcPr>
            <w:tcW w:w="880" w:type="dxa"/>
            <w:vMerge w:val="restart"/>
            <w:shd w:val="clear" w:color="auto" w:fill="auto"/>
          </w:tcPr>
          <w:p w:rsidR="000E1BE8" w:rsidRPr="000E1BE8" w:rsidRDefault="000E1BE8" w:rsidP="00590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школы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детского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сада № 1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в микро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районе  38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100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ащ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200 мест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2021 – 2023,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86:10:0101131:41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(11 049), договор аренды земельного участка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14.07.2017 № 166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ООО «Сургут-стройцентр»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и реализация мероприятий по обеспечению </w:t>
            </w:r>
          </w:p>
          <w:p w:rsid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земельного участка инженерными сетями и транспортной </w:t>
            </w:r>
          </w:p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0E1BE8" w:rsidRPr="000E1BE8" w:rsidTr="000E1BE8">
        <w:trPr>
          <w:trHeight w:val="70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0E1BE8" w:rsidRPr="000E1BE8" w:rsidTr="000E1BE8">
        <w:trPr>
          <w:trHeight w:val="697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3. Направление в Правительство округа обращения о необходимости переноса даты строительства объекта на период 2018 – 2020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0E1BE8" w:rsidRPr="000E1BE8" w:rsidTr="000E1BE8">
        <w:trPr>
          <w:trHeight w:val="223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0E1BE8" w:rsidRPr="000E1BE8" w:rsidTr="000E1BE8">
        <w:trPr>
          <w:trHeight w:val="461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0E1BE8" w:rsidRPr="000E1BE8" w:rsidTr="000E1BE8">
        <w:trPr>
          <w:trHeight w:val="419"/>
        </w:trPr>
        <w:tc>
          <w:tcPr>
            <w:tcW w:w="880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1BE8" w:rsidRPr="000E1BE8" w:rsidRDefault="000E1BE8" w:rsidP="000E1B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6.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Pr="000E1BE8" w:rsidRDefault="000E1BE8" w:rsidP="000E1BE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0E1BE8" w:rsidRPr="000E1BE8" w:rsidRDefault="000E1BE8" w:rsidP="000E1BE8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ДГХ,</w:t>
            </w:r>
          </w:p>
          <w:p w:rsidR="000E1BE8" w:rsidRPr="000E1BE8" w:rsidRDefault="000E1BE8" w:rsidP="000E1BE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BE8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</w:tbl>
    <w:p w:rsidR="000E1BE8" w:rsidRPr="005903F7" w:rsidRDefault="000E1BE8" w:rsidP="005903F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3F7">
        <w:rPr>
          <w:rFonts w:eastAsia="Times New Roman" w:cs="Times New Roman"/>
          <w:szCs w:val="28"/>
          <w:lang w:eastAsia="ru-RU"/>
        </w:rPr>
        <w:t xml:space="preserve">Примечание: </w:t>
      </w:r>
      <w:r w:rsidR="005903F7">
        <w:rPr>
          <w:rFonts w:eastAsia="Times New Roman" w:cs="Times New Roman"/>
          <w:szCs w:val="28"/>
          <w:lang w:eastAsia="ru-RU"/>
        </w:rPr>
        <w:t>*</w:t>
      </w:r>
      <w:r w:rsidRPr="005903F7">
        <w:rPr>
          <w:rFonts w:eastAsia="Times New Roman" w:cs="Times New Roman"/>
          <w:szCs w:val="28"/>
          <w:lang w:eastAsia="ru-RU"/>
        </w:rPr>
        <w:t>проекты, относящиеся к категории приоритетных в рамках государственной программы.</w:t>
      </w:r>
      <w:bookmarkEnd w:id="5"/>
    </w:p>
    <w:sectPr w:rsidR="000E1BE8" w:rsidRPr="005903F7" w:rsidSect="000E1BE8">
      <w:footerReference w:type="default" r:id="rId9"/>
      <w:pgSz w:w="16838" w:h="11906" w:orient="landscape" w:code="9"/>
      <w:pgMar w:top="1701" w:right="567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C1" w:rsidRDefault="00AB0CC1" w:rsidP="000E1BE8">
      <w:r>
        <w:separator/>
      </w:r>
    </w:p>
  </w:endnote>
  <w:endnote w:type="continuationSeparator" w:id="0">
    <w:p w:rsidR="00AB0CC1" w:rsidRDefault="00AB0CC1" w:rsidP="000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7C" w:rsidRDefault="0007108C">
    <w:pPr>
      <w:pStyle w:val="af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C1" w:rsidRDefault="00AB0CC1" w:rsidP="000E1BE8">
      <w:r>
        <w:separator/>
      </w:r>
    </w:p>
  </w:footnote>
  <w:footnote w:type="continuationSeparator" w:id="0">
    <w:p w:rsidR="00AB0CC1" w:rsidRDefault="00AB0CC1" w:rsidP="000E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497162415"/>
      <w:docPartObj>
        <w:docPartGallery w:val="Page Numbers (Top of Page)"/>
        <w:docPartUnique/>
      </w:docPartObj>
    </w:sdtPr>
    <w:sdtEndPr/>
    <w:sdtContent>
      <w:p w:rsidR="000E1BE8" w:rsidRPr="000E1BE8" w:rsidRDefault="000E1BE8">
        <w:pPr>
          <w:pStyle w:val="afff8"/>
          <w:jc w:val="center"/>
          <w:rPr>
            <w:rFonts w:ascii="Times New Roman" w:hAnsi="Times New Roman"/>
            <w:sz w:val="20"/>
            <w:szCs w:val="20"/>
          </w:rPr>
        </w:pPr>
        <w:r w:rsidRPr="000E1BE8">
          <w:rPr>
            <w:rFonts w:ascii="Times New Roman" w:hAnsi="Times New Roman"/>
            <w:sz w:val="20"/>
            <w:szCs w:val="20"/>
          </w:rPr>
          <w:fldChar w:fldCharType="begin"/>
        </w:r>
        <w:r w:rsidRPr="000E1BE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E1BE8">
          <w:rPr>
            <w:rFonts w:ascii="Times New Roman" w:hAnsi="Times New Roman"/>
            <w:sz w:val="20"/>
            <w:szCs w:val="20"/>
          </w:rPr>
          <w:fldChar w:fldCharType="separate"/>
        </w:r>
        <w:r w:rsidR="0007108C" w:rsidRPr="0007108C">
          <w:rPr>
            <w:rFonts w:ascii="Times New Roman" w:hAnsi="Times New Roman"/>
            <w:noProof/>
            <w:sz w:val="20"/>
            <w:szCs w:val="20"/>
            <w:lang w:val="ru-RU"/>
          </w:rPr>
          <w:t>1</w:t>
        </w:r>
        <w:r w:rsidRPr="000E1BE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17915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E1BE8" w:rsidRPr="000E1BE8" w:rsidRDefault="000E1BE8">
        <w:pPr>
          <w:pStyle w:val="afff8"/>
          <w:jc w:val="center"/>
          <w:rPr>
            <w:rFonts w:ascii="Times New Roman" w:hAnsi="Times New Roman"/>
            <w:sz w:val="20"/>
            <w:szCs w:val="20"/>
          </w:rPr>
        </w:pPr>
        <w:r w:rsidRPr="000E1BE8">
          <w:rPr>
            <w:rFonts w:ascii="Times New Roman" w:hAnsi="Times New Roman"/>
            <w:sz w:val="20"/>
            <w:szCs w:val="20"/>
          </w:rPr>
          <w:fldChar w:fldCharType="begin"/>
        </w:r>
        <w:r w:rsidRPr="000E1BE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E1BE8">
          <w:rPr>
            <w:rFonts w:ascii="Times New Roman" w:hAnsi="Times New Roman"/>
            <w:sz w:val="20"/>
            <w:szCs w:val="20"/>
          </w:rPr>
          <w:fldChar w:fldCharType="separate"/>
        </w:r>
        <w:r w:rsidR="0007108C" w:rsidRPr="0007108C">
          <w:rPr>
            <w:rFonts w:ascii="Times New Roman" w:hAnsi="Times New Roman"/>
            <w:noProof/>
            <w:sz w:val="20"/>
            <w:szCs w:val="20"/>
            <w:lang w:val="ru-RU"/>
          </w:rPr>
          <w:t>3</w:t>
        </w:r>
        <w:r w:rsidRPr="000E1BE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10"/>
    <w:multiLevelType w:val="hybridMultilevel"/>
    <w:tmpl w:val="0E46D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C5654"/>
    <w:multiLevelType w:val="hybridMultilevel"/>
    <w:tmpl w:val="DEF0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E97"/>
    <w:multiLevelType w:val="hybridMultilevel"/>
    <w:tmpl w:val="0810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CD6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958"/>
    <w:multiLevelType w:val="hybridMultilevel"/>
    <w:tmpl w:val="2D6A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6023"/>
    <w:multiLevelType w:val="hybridMultilevel"/>
    <w:tmpl w:val="CA60811A"/>
    <w:lvl w:ilvl="0" w:tplc="A5D68B9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22AA0A73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5B2B"/>
    <w:multiLevelType w:val="hybridMultilevel"/>
    <w:tmpl w:val="0CC0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0F"/>
    <w:multiLevelType w:val="hybridMultilevel"/>
    <w:tmpl w:val="85D82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D75EC7"/>
    <w:multiLevelType w:val="hybridMultilevel"/>
    <w:tmpl w:val="E066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8A4"/>
    <w:multiLevelType w:val="hybridMultilevel"/>
    <w:tmpl w:val="BA9CAA40"/>
    <w:lvl w:ilvl="0" w:tplc="76FE8F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30321E35"/>
    <w:multiLevelType w:val="hybridMultilevel"/>
    <w:tmpl w:val="D860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872"/>
    <w:multiLevelType w:val="hybridMultilevel"/>
    <w:tmpl w:val="3106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7FE6"/>
    <w:multiLevelType w:val="hybridMultilevel"/>
    <w:tmpl w:val="FEE6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1EBD"/>
    <w:multiLevelType w:val="hybridMultilevel"/>
    <w:tmpl w:val="D11A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4F57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710D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FA4"/>
    <w:multiLevelType w:val="hybridMultilevel"/>
    <w:tmpl w:val="3C04F258"/>
    <w:lvl w:ilvl="0" w:tplc="EF8A0C9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75ECD"/>
    <w:multiLevelType w:val="hybridMultilevel"/>
    <w:tmpl w:val="D8609A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62DE4"/>
    <w:multiLevelType w:val="hybridMultilevel"/>
    <w:tmpl w:val="799E1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3579D7"/>
    <w:multiLevelType w:val="hybridMultilevel"/>
    <w:tmpl w:val="E482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41EB6"/>
    <w:multiLevelType w:val="hybridMultilevel"/>
    <w:tmpl w:val="B9A46E7E"/>
    <w:lvl w:ilvl="0" w:tplc="75EE98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52B77527"/>
    <w:multiLevelType w:val="hybridMultilevel"/>
    <w:tmpl w:val="3C04F258"/>
    <w:lvl w:ilvl="0" w:tplc="EF8A0C9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B49BE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811"/>
    <w:multiLevelType w:val="hybridMultilevel"/>
    <w:tmpl w:val="B9A46E7E"/>
    <w:lvl w:ilvl="0" w:tplc="75EE98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5B7D2570"/>
    <w:multiLevelType w:val="hybridMultilevel"/>
    <w:tmpl w:val="0DCC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47127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1F0C"/>
    <w:multiLevelType w:val="hybridMultilevel"/>
    <w:tmpl w:val="AA9C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E74C9"/>
    <w:multiLevelType w:val="hybridMultilevel"/>
    <w:tmpl w:val="5BC4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5760B"/>
    <w:multiLevelType w:val="hybridMultilevel"/>
    <w:tmpl w:val="A664EB1C"/>
    <w:lvl w:ilvl="0" w:tplc="0419000F">
      <w:start w:val="1"/>
      <w:numFmt w:val="decimal"/>
      <w:lvlText w:val="%1."/>
      <w:lvlJc w:val="left"/>
      <w:pPr>
        <w:ind w:left="2806" w:hanging="360"/>
      </w:pPr>
    </w:lvl>
    <w:lvl w:ilvl="1" w:tplc="04190019" w:tentative="1">
      <w:start w:val="1"/>
      <w:numFmt w:val="lowerLetter"/>
      <w:lvlText w:val="%2."/>
      <w:lvlJc w:val="left"/>
      <w:pPr>
        <w:ind w:left="3526" w:hanging="360"/>
      </w:pPr>
    </w:lvl>
    <w:lvl w:ilvl="2" w:tplc="0419001B" w:tentative="1">
      <w:start w:val="1"/>
      <w:numFmt w:val="lowerRoman"/>
      <w:lvlText w:val="%3."/>
      <w:lvlJc w:val="right"/>
      <w:pPr>
        <w:ind w:left="4246" w:hanging="180"/>
      </w:pPr>
    </w:lvl>
    <w:lvl w:ilvl="3" w:tplc="0419000F" w:tentative="1">
      <w:start w:val="1"/>
      <w:numFmt w:val="decimal"/>
      <w:lvlText w:val="%4."/>
      <w:lvlJc w:val="left"/>
      <w:pPr>
        <w:ind w:left="4966" w:hanging="360"/>
      </w:pPr>
    </w:lvl>
    <w:lvl w:ilvl="4" w:tplc="04190019" w:tentative="1">
      <w:start w:val="1"/>
      <w:numFmt w:val="lowerLetter"/>
      <w:lvlText w:val="%5."/>
      <w:lvlJc w:val="left"/>
      <w:pPr>
        <w:ind w:left="5686" w:hanging="360"/>
      </w:pPr>
    </w:lvl>
    <w:lvl w:ilvl="5" w:tplc="0419001B" w:tentative="1">
      <w:start w:val="1"/>
      <w:numFmt w:val="lowerRoman"/>
      <w:lvlText w:val="%6."/>
      <w:lvlJc w:val="right"/>
      <w:pPr>
        <w:ind w:left="6406" w:hanging="180"/>
      </w:pPr>
    </w:lvl>
    <w:lvl w:ilvl="6" w:tplc="0419000F" w:tentative="1">
      <w:start w:val="1"/>
      <w:numFmt w:val="decimal"/>
      <w:lvlText w:val="%7."/>
      <w:lvlJc w:val="left"/>
      <w:pPr>
        <w:ind w:left="7126" w:hanging="360"/>
      </w:pPr>
    </w:lvl>
    <w:lvl w:ilvl="7" w:tplc="04190019" w:tentative="1">
      <w:start w:val="1"/>
      <w:numFmt w:val="lowerLetter"/>
      <w:lvlText w:val="%8."/>
      <w:lvlJc w:val="left"/>
      <w:pPr>
        <w:ind w:left="7846" w:hanging="360"/>
      </w:pPr>
    </w:lvl>
    <w:lvl w:ilvl="8" w:tplc="0419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30" w15:restartNumberingAfterBreak="0">
    <w:nsid w:val="6687183C"/>
    <w:multiLevelType w:val="hybridMultilevel"/>
    <w:tmpl w:val="F294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3E7E"/>
    <w:multiLevelType w:val="hybridMultilevel"/>
    <w:tmpl w:val="5AA2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015A3"/>
    <w:multiLevelType w:val="hybridMultilevel"/>
    <w:tmpl w:val="6DE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16693"/>
    <w:multiLevelType w:val="hybridMultilevel"/>
    <w:tmpl w:val="0DCC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6518C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029B"/>
    <w:multiLevelType w:val="hybridMultilevel"/>
    <w:tmpl w:val="4810F9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496D6D"/>
    <w:multiLevelType w:val="hybridMultilevel"/>
    <w:tmpl w:val="81B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41A1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37"/>
  </w:num>
  <w:num w:numId="5">
    <w:abstractNumId w:val="29"/>
  </w:num>
  <w:num w:numId="6">
    <w:abstractNumId w:val="8"/>
  </w:num>
  <w:num w:numId="7">
    <w:abstractNumId w:val="18"/>
  </w:num>
  <w:num w:numId="8">
    <w:abstractNumId w:val="11"/>
  </w:num>
  <w:num w:numId="9">
    <w:abstractNumId w:val="30"/>
  </w:num>
  <w:num w:numId="10">
    <w:abstractNumId w:val="33"/>
  </w:num>
  <w:num w:numId="11">
    <w:abstractNumId w:val="1"/>
  </w:num>
  <w:num w:numId="12">
    <w:abstractNumId w:val="7"/>
  </w:num>
  <w:num w:numId="13">
    <w:abstractNumId w:val="36"/>
  </w:num>
  <w:num w:numId="14">
    <w:abstractNumId w:val="14"/>
  </w:num>
  <w:num w:numId="15">
    <w:abstractNumId w:val="22"/>
  </w:num>
  <w:num w:numId="16">
    <w:abstractNumId w:val="9"/>
  </w:num>
  <w:num w:numId="17">
    <w:abstractNumId w:val="23"/>
  </w:num>
  <w:num w:numId="18">
    <w:abstractNumId w:val="12"/>
  </w:num>
  <w:num w:numId="19">
    <w:abstractNumId w:val="13"/>
  </w:num>
  <w:num w:numId="20">
    <w:abstractNumId w:val="28"/>
  </w:num>
  <w:num w:numId="21">
    <w:abstractNumId w:val="5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31"/>
  </w:num>
  <w:num w:numId="27">
    <w:abstractNumId w:val="15"/>
  </w:num>
  <w:num w:numId="28">
    <w:abstractNumId w:val="6"/>
  </w:num>
  <w:num w:numId="29">
    <w:abstractNumId w:val="35"/>
  </w:num>
  <w:num w:numId="30">
    <w:abstractNumId w:val="3"/>
  </w:num>
  <w:num w:numId="31">
    <w:abstractNumId w:val="32"/>
  </w:num>
  <w:num w:numId="32">
    <w:abstractNumId w:val="4"/>
  </w:num>
  <w:num w:numId="33">
    <w:abstractNumId w:val="25"/>
  </w:num>
  <w:num w:numId="34">
    <w:abstractNumId w:val="21"/>
  </w:num>
  <w:num w:numId="35">
    <w:abstractNumId w:val="17"/>
  </w:num>
  <w:num w:numId="36">
    <w:abstractNumId w:val="2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E8"/>
    <w:rsid w:val="00032048"/>
    <w:rsid w:val="0007108C"/>
    <w:rsid w:val="000B3EEB"/>
    <w:rsid w:val="000E1BE8"/>
    <w:rsid w:val="00520707"/>
    <w:rsid w:val="005903F7"/>
    <w:rsid w:val="0060767A"/>
    <w:rsid w:val="006D58D0"/>
    <w:rsid w:val="00914FE0"/>
    <w:rsid w:val="00A448C4"/>
    <w:rsid w:val="00AB0CC1"/>
    <w:rsid w:val="00E7225E"/>
    <w:rsid w:val="00F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8F7C71-8AC1-4C66-9E6D-C6BCC36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1B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0E1BE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0E1BE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0E1BE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1B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E1BE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E1BE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E1BE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0E1BE8"/>
  </w:style>
  <w:style w:type="character" w:customStyle="1" w:styleId="a4">
    <w:name w:val="Цветовое выделение"/>
    <w:rsid w:val="000E1BE8"/>
    <w:rPr>
      <w:b/>
      <w:bCs/>
      <w:color w:val="000080"/>
    </w:rPr>
  </w:style>
  <w:style w:type="character" w:customStyle="1" w:styleId="a5">
    <w:name w:val="Гипертекстовая ссылка"/>
    <w:rsid w:val="000E1BE8"/>
    <w:rPr>
      <w:b/>
      <w:bCs/>
      <w:color w:val="008000"/>
    </w:rPr>
  </w:style>
  <w:style w:type="character" w:customStyle="1" w:styleId="a6">
    <w:name w:val="Активная гипертекстовая ссылка"/>
    <w:rsid w:val="000E1BE8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8">
    <w:name w:val="Title"/>
    <w:basedOn w:val="a7"/>
    <w:next w:val="a"/>
    <w:link w:val="a9"/>
    <w:rsid w:val="000E1BE8"/>
    <w:rPr>
      <w:rFonts w:ascii="Arial" w:hAnsi="Arial" w:cs="Arial"/>
      <w:b/>
      <w:bCs/>
      <w:color w:val="C0C0C0"/>
    </w:rPr>
  </w:style>
  <w:style w:type="character" w:customStyle="1" w:styleId="a9">
    <w:name w:val="Название Знак"/>
    <w:basedOn w:val="a0"/>
    <w:link w:val="a8"/>
    <w:rsid w:val="000E1BE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a">
    <w:name w:val="Заголовок своего сообщения"/>
    <w:basedOn w:val="a4"/>
    <w:rsid w:val="000E1BE8"/>
    <w:rPr>
      <w:b/>
      <w:bCs/>
      <w:color w:val="000080"/>
    </w:rPr>
  </w:style>
  <w:style w:type="paragraph" w:customStyle="1" w:styleId="ab">
    <w:name w:val="Заголовок статьи"/>
    <w:basedOn w:val="a"/>
    <w:next w:val="a"/>
    <w:rsid w:val="000E1BE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Заголовок чужого сообщения"/>
    <w:rsid w:val="000E1BE8"/>
    <w:rPr>
      <w:b/>
      <w:bCs/>
      <w:color w:val="FF0000"/>
    </w:rPr>
  </w:style>
  <w:style w:type="paragraph" w:customStyle="1" w:styleId="ad">
    <w:name w:val="Интерактивный заголовок"/>
    <w:basedOn w:val="a8"/>
    <w:next w:val="a"/>
    <w:rsid w:val="000E1B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0E1BE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0E1BE8"/>
    <w:pPr>
      <w:ind w:left="0"/>
    </w:pPr>
  </w:style>
  <w:style w:type="paragraph" w:customStyle="1" w:styleId="af1">
    <w:name w:val="Текст (лев. подпись)"/>
    <w:basedOn w:val="a"/>
    <w:next w:val="a"/>
    <w:rsid w:val="000E1B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0E1B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0E1BE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0E1B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0E1B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0E1BE8"/>
    <w:rPr>
      <w:b/>
      <w:bCs/>
      <w:color w:val="000080"/>
    </w:rPr>
  </w:style>
  <w:style w:type="character" w:customStyle="1" w:styleId="af8">
    <w:name w:val="Не вступил в силу"/>
    <w:rsid w:val="000E1BE8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0E1BE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0E1BE8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0E1BE8"/>
    <w:rPr>
      <w:color w:val="FF0000"/>
    </w:rPr>
  </w:style>
  <w:style w:type="paragraph" w:customStyle="1" w:styleId="afe">
    <w:name w:val="Переменная часть"/>
    <w:basedOn w:val="a7"/>
    <w:next w:val="a"/>
    <w:rsid w:val="000E1BE8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0E1BE8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rsid w:val="000E1B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0E1BE8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0E1BE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0E1BE8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0E1BE8"/>
    <w:rPr>
      <w:color w:val="0000FF"/>
    </w:rPr>
  </w:style>
  <w:style w:type="character" w:customStyle="1" w:styleId="aff5">
    <w:name w:val="Сравнение редакций. Удаленный фрагмент"/>
    <w:rsid w:val="000E1BE8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0E1BE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0E1BE8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0E1B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0E1BE8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0E1BE8"/>
    <w:pPr>
      <w:jc w:val="center"/>
    </w:pPr>
  </w:style>
  <w:style w:type="paragraph" w:customStyle="1" w:styleId="affb">
    <w:name w:val="Знак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0E1BE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0E1BE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0E1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0E1BE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0E1BE8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0E1BE8"/>
    <w:rPr>
      <w:color w:val="0000FF"/>
      <w:u w:val="single"/>
    </w:rPr>
  </w:style>
  <w:style w:type="character" w:styleId="afff1">
    <w:name w:val="FollowedHyperlink"/>
    <w:rsid w:val="000E1BE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E1BE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0E1B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0E1BE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1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0E1BE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0E1BE8"/>
    <w:rPr>
      <w:rFonts w:ascii="Tahoma" w:eastAsia="Times New Roman" w:hAnsi="Tahoma" w:cs="Tahoma"/>
      <w:sz w:val="16"/>
      <w:szCs w:val="16"/>
      <w:lang w:eastAsia="ru-RU"/>
    </w:rPr>
  </w:style>
  <w:style w:type="character" w:styleId="afff5">
    <w:name w:val="Emphasis"/>
    <w:uiPriority w:val="20"/>
    <w:qFormat/>
    <w:rsid w:val="000E1BE8"/>
    <w:rPr>
      <w:i/>
      <w:iCs/>
    </w:rPr>
  </w:style>
  <w:style w:type="paragraph" w:styleId="afff6">
    <w:name w:val="Normal (Web)"/>
    <w:basedOn w:val="a"/>
    <w:uiPriority w:val="99"/>
    <w:unhideWhenUsed/>
    <w:rsid w:val="000E1BE8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fff7">
    <w:name w:val="List Paragraph"/>
    <w:basedOn w:val="a"/>
    <w:uiPriority w:val="34"/>
    <w:qFormat/>
    <w:rsid w:val="000E1BE8"/>
    <w:pPr>
      <w:ind w:left="720"/>
    </w:pPr>
    <w:rPr>
      <w:rFonts w:ascii="Calibri" w:eastAsia="Calibri" w:hAnsi="Calibri" w:cs="Times New Roman"/>
      <w:sz w:val="22"/>
    </w:rPr>
  </w:style>
  <w:style w:type="paragraph" w:styleId="afff8">
    <w:name w:val="header"/>
    <w:basedOn w:val="a"/>
    <w:link w:val="afff9"/>
    <w:uiPriority w:val="99"/>
    <w:rsid w:val="000E1B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9">
    <w:name w:val="Верхний колонтитул Знак"/>
    <w:basedOn w:val="a0"/>
    <w:link w:val="afff8"/>
    <w:uiPriority w:val="99"/>
    <w:rsid w:val="000E1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a">
    <w:name w:val="footer"/>
    <w:basedOn w:val="a"/>
    <w:link w:val="afffb"/>
    <w:uiPriority w:val="99"/>
    <w:rsid w:val="000E1B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b">
    <w:name w:val="Нижний колонтитул Знак"/>
    <w:basedOn w:val="a0"/>
    <w:link w:val="afffa"/>
    <w:uiPriority w:val="99"/>
    <w:rsid w:val="000E1BE8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23">
    <w:name w:val="Нет списка2"/>
    <w:next w:val="a2"/>
    <w:semiHidden/>
    <w:rsid w:val="000E1BE8"/>
  </w:style>
  <w:style w:type="table" w:customStyle="1" w:styleId="24">
    <w:name w:val="Сетка таблицы2"/>
    <w:basedOn w:val="a1"/>
    <w:next w:val="a3"/>
    <w:rsid w:val="000E1BE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5849</Words>
  <Characters>33340</Characters>
  <Application>Microsoft Office Word</Application>
  <DocSecurity>0</DocSecurity>
  <Lines>277</Lines>
  <Paragraphs>78</Paragraphs>
  <ScaleCrop>false</ScaleCrop>
  <Company/>
  <LinksUpToDate>false</LinksUpToDate>
  <CharactersWithSpaces>39111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2018-02-16T05:55:00Z</cp:lastPrinted>
  <dcterms:created xsi:type="dcterms:W3CDTF">2018-02-20T10:24:00Z</dcterms:created>
  <dcterms:modified xsi:type="dcterms:W3CDTF">2018-02-20T10:24:00Z</dcterms:modified>
</cp:coreProperties>
</file>