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34FA1">
        <w:rPr>
          <w:rFonts w:ascii="Times New Roman" w:hAnsi="Times New Roman" w:cs="Times New Roman"/>
          <w:bCs/>
          <w:i/>
          <w:sz w:val="24"/>
          <w:szCs w:val="24"/>
        </w:rPr>
        <w:t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GoBack"/>
      <w:bookmarkEnd w:id="0"/>
    </w:p>
    <w:p w:rsidR="00D63CFB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06D">
        <w:rPr>
          <w:rFonts w:ascii="Times New Roman" w:hAnsi="Times New Roman" w:cs="Times New Roman"/>
          <w:color w:val="000000"/>
          <w:sz w:val="24"/>
          <w:szCs w:val="24"/>
        </w:rPr>
        <w:t>В 2012 году значение показателя составило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06D">
        <w:rPr>
          <w:rFonts w:ascii="Times New Roman" w:hAnsi="Times New Roman" w:cs="Times New Roman"/>
          <w:color w:val="000000"/>
          <w:sz w:val="24"/>
          <w:szCs w:val="24"/>
        </w:rPr>
        <w:t>76,9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06D">
        <w:rPr>
          <w:rFonts w:ascii="Times New Roman" w:hAnsi="Times New Roman" w:cs="Times New Roman"/>
          <w:color w:val="000000"/>
          <w:sz w:val="24"/>
          <w:szCs w:val="24"/>
        </w:rPr>
        <w:t xml:space="preserve">%, увеличившись по сравнению с 2011 годом на 13,1 </w:t>
      </w:r>
      <w:proofErr w:type="gramStart"/>
      <w:r w:rsidRPr="0063706D">
        <w:rPr>
          <w:rFonts w:ascii="Times New Roman" w:hAnsi="Times New Roman" w:cs="Times New Roman"/>
          <w:color w:val="000000"/>
          <w:sz w:val="24"/>
          <w:szCs w:val="24"/>
        </w:rPr>
        <w:t>процентных</w:t>
      </w:r>
      <w:proofErr w:type="gramEnd"/>
      <w:r w:rsidRPr="0063706D">
        <w:rPr>
          <w:rFonts w:ascii="Times New Roman" w:hAnsi="Times New Roman" w:cs="Times New Roman"/>
          <w:color w:val="000000"/>
          <w:sz w:val="24"/>
          <w:szCs w:val="24"/>
        </w:rPr>
        <w:t xml:space="preserve"> пункта (2011 год - 63,8</w:t>
      </w:r>
      <w:r w:rsidRPr="00E34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06D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Для реализации мер, направленных на увеличение налоговых и неналоговых доходов местных бюджетов, в соответствии с распоряжением Администрации города от 28.12.2011 № 4016, был утвержден план мероприятий по увеличению доходов бюджета, устанавливающий направления работы, период проведения и ответственных за их реализацию. 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Результатами реализации Администрацией города данного плана мероприятий за 2012 год стали: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1.1. Для повышения точности прогнозирования налоговых и неналоговых доходов, обеспечения сбалансированности и устойчивости бюджета города, в 2012 году разработана и утверждена постановлением Администрации города от 17.09.2012 № 7179 «Методика прогнозирования налоговых и неналоговых доходов бюджета городского округа город Сургут».</w:t>
      </w:r>
    </w:p>
    <w:p w:rsidR="00D63CFB" w:rsidRPr="00E34FA1" w:rsidRDefault="00D63CFB" w:rsidP="00D63CF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1.2. В целях усиления работы в рамках своих полномочий и расширения взаимодействия с соответствующими федеральными структурами по увеличению налоговой базы и погашению задолженности по налоговым платежам Администрацией города было проведено 9 заседаний комиссии по мобилизации дополнительных доходов в местный бюджет, на которых были заслушаны: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руководители организаций, индивидуальные предприниматели, имеющие задолженность по налогу на доходы физических лиц, единому налогу на вменённый доход и налогу, взимаемому в связи с применением упрощённой системы налогообложения;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руководители организаций по факту выплаты заработной платы ниже установленного минимального уровня по ХМАО-Югре;</w:t>
      </w:r>
    </w:p>
    <w:p w:rsidR="00D63CFB" w:rsidRPr="00E34FA1" w:rsidRDefault="00D63CFB" w:rsidP="00D63CF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председатели гаражно-строительных кооперативов по вопросу неуплаты налога на доходы физических лиц, либо выплаты заработной платы ниже установленного минимального уровня заработной платы по ХМАО-Югре;</w:t>
      </w:r>
    </w:p>
    <w:p w:rsidR="00D63CFB" w:rsidRPr="00E34FA1" w:rsidRDefault="00D63CFB" w:rsidP="00D63CF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руководители организаций по вопросу об использовании квот на привлечение и использование иностранных работников на территории города и уплате ими налога на доходы физических лиц с иностранных граждан.</w:t>
      </w:r>
    </w:p>
    <w:p w:rsidR="00D63CFB" w:rsidRPr="00E34FA1" w:rsidRDefault="00D63CFB" w:rsidP="00D63CFB">
      <w:pPr>
        <w:tabs>
          <w:tab w:val="num" w:pos="61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По итогам проведенной работы:</w:t>
      </w:r>
    </w:p>
    <w:p w:rsidR="00D63CFB" w:rsidRPr="00E34FA1" w:rsidRDefault="00D63CFB" w:rsidP="00D63CFB">
      <w:pPr>
        <w:tabs>
          <w:tab w:val="num" w:pos="61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погашена задолженность по налогам в объеме 7 318,2  тыс. рублей, из них 3 987 тыс. рублей по налогу на доходы физических лиц, 1 954,7 тыс. рублей по налогу, взимаемому в связи с применением упрощенной системы налогообложения, 1 376,5     тыс. рублей по единому налогу на вмененный доход;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дополнительно поступило в бюджет города налога на доходы физических лиц в результате повышения заработной платы 4 751 тыс. рублей.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Кроме того, в рамках деятельности комиссии в 2012 году для предоставления налоговых уведомлений по имущественным налогам в зданиях Администрации города, предприятий, в торговых центрах города были организованы мобильные офисы. По результатам выездных мобильных офисов вручено налогоплательщикам 3 257 уведомлений на сумму 6 888 тыс. рублей.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1.3. В целях проведения мероприятий  по выявлению организаций и предпринимателей, осуществляющих деятельность на территории города без регистрации в налоговом органе, а также постановке на учёт неучтенных объектов налогообложения Администрацией города в 2012 году: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- осуществлялся обмен информацией с налоговыми органами о заключенных муниципальных контрактах с иногородними поставщиками, об иногородних </w:t>
      </w:r>
      <w:r w:rsidRPr="00E34FA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организациях, подавших заявки на подбор кадров в </w:t>
      </w:r>
      <w:proofErr w:type="spellStart"/>
      <w:r w:rsidRPr="00E34FA1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E34FA1">
        <w:rPr>
          <w:rFonts w:ascii="Times New Roman" w:hAnsi="Times New Roman" w:cs="Times New Roman"/>
          <w:sz w:val="24"/>
          <w:szCs w:val="24"/>
        </w:rPr>
        <w:t xml:space="preserve"> центр занятости населения. В результате проведенной работы 2 организации поставлены на  налоговый учет в инспекции ФНС России по городу Сургуту и объем дополнительных поступлений в бюджет города налога на доходы физических лиц составил 9 млн. рублей;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организовывались совместные рейды с инспекцией Федеральной налоговой службы России по городу Сургуту, Управлением МВД России по городу Сургуту в соответствии с разработанным графиком выездных мероприятий по предотвращению и ликвидации несанкционированной торговли вне мест, установленных органами местного самоуправления.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1.4. В целях </w:t>
      </w:r>
      <w:r w:rsidRPr="00E34FA1">
        <w:rPr>
          <w:rFonts w:ascii="Times New Roman" w:hAnsi="Times New Roman" w:cs="Times New Roman"/>
          <w:bCs/>
          <w:sz w:val="24"/>
          <w:szCs w:val="24"/>
        </w:rPr>
        <w:t>увеличения поступлений</w:t>
      </w:r>
      <w:r w:rsidRPr="00E34FA1">
        <w:rPr>
          <w:rFonts w:ascii="Times New Roman" w:hAnsi="Times New Roman" w:cs="Times New Roman"/>
          <w:sz w:val="24"/>
          <w:szCs w:val="24"/>
        </w:rPr>
        <w:t xml:space="preserve"> по неналоговым доходам Администрацией го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E34FA1">
        <w:rPr>
          <w:rFonts w:ascii="Times New Roman" w:hAnsi="Times New Roman" w:cs="Times New Roman"/>
          <w:sz w:val="24"/>
          <w:szCs w:val="24"/>
        </w:rPr>
        <w:t>да реализовывались следующие мероприятия: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осуществлялось выявление землепользователей, использующих земельные участки при отсутствии правовых оснований: проведено 594 обследования, взыскано необоснованного обогащения на сумму более 43 млн. рублей;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- проводилась </w:t>
      </w:r>
      <w:proofErr w:type="spellStart"/>
      <w:r w:rsidRPr="00E34FA1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E34FA1">
        <w:rPr>
          <w:rFonts w:ascii="Times New Roman" w:hAnsi="Times New Roman" w:cs="Times New Roman"/>
          <w:sz w:val="24"/>
          <w:szCs w:val="24"/>
        </w:rPr>
        <w:t>-исковая работа по взысканию задолженности по арендной плате за муниципальное имущество, включая земельные участки: проведено 35 заседаний рабочей группы, рассмотрены дела по 253 арендаторам, направлено более 3 393 уведомлений о погашении задолженности на общую сумму 687 млн. рублей, судом принято решений на сумму 119 млн. рублей.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Несмотря на проводимые мероприятия, общий объём дебиторской задолженности перед бюджетом города остаётся достаточно высоким. В связи с чем, данному вопросу уделяется особое внимание со стороны Администрации города, Думы города и Контрольно-счётной палаты. Результаты мониторинга дебиторской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E34FA1">
        <w:rPr>
          <w:rFonts w:ascii="Times New Roman" w:hAnsi="Times New Roman" w:cs="Times New Roman"/>
          <w:sz w:val="24"/>
          <w:szCs w:val="24"/>
        </w:rPr>
        <w:t>рассматриваются на комитете Думы города по бюджету, налогам, финансам и имуществу.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1.5. В части проведения работы по сверке сведений о земельных участках, департаментом имущественных и земельных отношений Администрации города Сургута совместно с </w:t>
      </w:r>
      <w:proofErr w:type="spellStart"/>
      <w:r w:rsidRPr="00E34FA1">
        <w:rPr>
          <w:rFonts w:ascii="Times New Roman" w:hAnsi="Times New Roman" w:cs="Times New Roman"/>
          <w:sz w:val="24"/>
          <w:szCs w:val="24"/>
        </w:rPr>
        <w:t>Сургутским</w:t>
      </w:r>
      <w:proofErr w:type="spellEnd"/>
      <w:r w:rsidRPr="00E34FA1">
        <w:rPr>
          <w:rFonts w:ascii="Times New Roman" w:hAnsi="Times New Roman" w:cs="Times New Roman"/>
          <w:sz w:val="24"/>
          <w:szCs w:val="24"/>
        </w:rPr>
        <w:t xml:space="preserve"> отделом Управления Федеральной службы государственной регистрации, кадастра и картографии по ХМАО – Югре проведена сверка по всем выявленным земельным участкам в полном объеме.</w:t>
      </w:r>
    </w:p>
    <w:p w:rsidR="00D63CFB" w:rsidRPr="00E34FA1" w:rsidRDefault="00D63CFB" w:rsidP="00D63CFB">
      <w:pPr>
        <w:tabs>
          <w:tab w:val="left" w:pos="426"/>
          <w:tab w:val="num" w:pos="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1.6. С целью реализации мер по постановке на кадастровый учёт земельных участков, занятых многоквартирными домами, для их дальнейшего налогообложения Администрацией города, так же как и в предыдущие годы, в 2012 году осуществлялось: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информирование и консультирование населения, управляющих организаций и ТСЖ по процедуре формирования земельных участков и постановке их на государственный кадастровый учет;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- содействие в организации проведения общих собраний собственников помещений в многоквартирном доме по вопросу формирования земельного участка.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 xml:space="preserve">Но, несмотря на разъяснительную работу, проводимую среди населения о необходимости формирования земельных участков, отмечается низкая активность собственников жилья по решению данного вопроса. 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Кроме того, так как законодательством не установлен орган, ответственный за определение соответствующей доли в праве собственности на земельный участок каждого собственника помещений, исчисление земельного налога на сегодняшний день инспекцией ФНС России по городу Сургуту не осуществляется.</w:t>
      </w:r>
    </w:p>
    <w:p w:rsidR="00D63CFB" w:rsidRPr="00E34FA1" w:rsidRDefault="00D63CFB" w:rsidP="00D6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По состоянию на 01.01.2013 сформированы и поставлены на кадастровый учет земельные участки под 496 многоквартирными домами.</w:t>
      </w:r>
    </w:p>
    <w:p w:rsidR="00D63CFB" w:rsidRPr="00E34FA1" w:rsidRDefault="00D63CFB" w:rsidP="00D63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z w:val="24"/>
          <w:szCs w:val="24"/>
        </w:rPr>
        <w:t>2. Проводит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34FA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4FA1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бюджетных расходов с целью недопущения просроченной кредиторской задолженности по бюджетным обязательствам.</w:t>
      </w:r>
    </w:p>
    <w:p w:rsidR="00D63CFB" w:rsidRPr="00E34FA1" w:rsidRDefault="00D63CFB" w:rsidP="00D6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FA1">
        <w:rPr>
          <w:rFonts w:ascii="Times New Roman" w:hAnsi="Times New Roman" w:cs="Times New Roman"/>
          <w:spacing w:val="-2"/>
          <w:sz w:val="24"/>
          <w:szCs w:val="24"/>
        </w:rPr>
        <w:t>В целях реализации решений Думы города от 20.09.2011 № 77-</w:t>
      </w:r>
      <w:r w:rsidRPr="00E34FA1">
        <w:rPr>
          <w:rFonts w:ascii="Times New Roman" w:hAnsi="Times New Roman" w:cs="Times New Roman"/>
          <w:spacing w:val="-2"/>
          <w:sz w:val="24"/>
          <w:szCs w:val="24"/>
          <w:lang w:val="en-US"/>
        </w:rPr>
        <w:t>V</w:t>
      </w:r>
      <w:r w:rsidRPr="00E34FA1">
        <w:rPr>
          <w:rFonts w:ascii="Times New Roman" w:hAnsi="Times New Roman" w:cs="Times New Roman"/>
          <w:spacing w:val="-2"/>
          <w:sz w:val="24"/>
          <w:szCs w:val="24"/>
        </w:rPr>
        <w:t xml:space="preserve"> ДГ «Об основных направлениях бюджетной и налоговой политики городского округа город Сургут на 2012 год и плановый период 2013-2014 годов» и от 29.12.2011 № 127-</w:t>
      </w:r>
      <w:r w:rsidRPr="00E34FA1">
        <w:rPr>
          <w:rFonts w:ascii="Times New Roman" w:hAnsi="Times New Roman" w:cs="Times New Roman"/>
          <w:spacing w:val="-2"/>
          <w:sz w:val="24"/>
          <w:szCs w:val="24"/>
          <w:lang w:val="en-US"/>
        </w:rPr>
        <w:t>V</w:t>
      </w:r>
      <w:r w:rsidRPr="00E34FA1">
        <w:rPr>
          <w:rFonts w:ascii="Times New Roman" w:hAnsi="Times New Roman" w:cs="Times New Roman"/>
          <w:spacing w:val="-2"/>
          <w:sz w:val="24"/>
          <w:szCs w:val="24"/>
        </w:rPr>
        <w:t xml:space="preserve"> ДГ «О бюджете </w:t>
      </w:r>
      <w:r w:rsidRPr="00E34FA1">
        <w:rPr>
          <w:rFonts w:ascii="Times New Roman" w:hAnsi="Times New Roman" w:cs="Times New Roman"/>
          <w:spacing w:val="-2"/>
          <w:sz w:val="24"/>
          <w:szCs w:val="24"/>
        </w:rPr>
        <w:lastRenderedPageBreak/>
        <w:t>городского округа город Сургут на 2012 год и плановый период 2013-2014 годов» было издано распоряжение Администрации города от 22.02.2012 № 395,</w:t>
      </w:r>
      <w:r w:rsidRPr="00E34FA1">
        <w:rPr>
          <w:rFonts w:ascii="Times New Roman" w:hAnsi="Times New Roman" w:cs="Times New Roman"/>
          <w:sz w:val="24"/>
          <w:szCs w:val="24"/>
        </w:rPr>
        <w:t xml:space="preserve"> в котором определены действия</w:t>
      </w:r>
      <w:proofErr w:type="gramEnd"/>
      <w:r w:rsidRPr="00E34FA1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 по повышению эффективности и результативности использования бюджетных средств.</w:t>
      </w:r>
    </w:p>
    <w:p w:rsidR="00D63CFB" w:rsidRPr="00E34FA1" w:rsidRDefault="00D63CFB" w:rsidP="00D63CFB">
      <w:pPr>
        <w:pStyle w:val="2"/>
        <w:tabs>
          <w:tab w:val="left" w:pos="0"/>
        </w:tabs>
        <w:spacing w:after="0" w:line="240" w:lineRule="auto"/>
        <w:jc w:val="both"/>
        <w:rPr>
          <w:spacing w:val="-2"/>
        </w:rPr>
      </w:pPr>
      <w:r w:rsidRPr="00E34FA1">
        <w:rPr>
          <w:spacing w:val="-2"/>
        </w:rPr>
        <w:tab/>
        <w:t xml:space="preserve"> В течение 2012 года финансирование осуществлялось в планомерном порядке путем исполнения оформленных в установленном порядке заявок главных распорядителей и получателей бюджетных средств на оплату расходов. Задержек по осуществлению платежей не возникало.</w:t>
      </w:r>
    </w:p>
    <w:p w:rsidR="00D63CFB" w:rsidRPr="00E34FA1" w:rsidRDefault="00D63CFB" w:rsidP="00D6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A1">
        <w:rPr>
          <w:rFonts w:ascii="Times New Roman" w:hAnsi="Times New Roman" w:cs="Times New Roman"/>
          <w:spacing w:val="-2"/>
          <w:sz w:val="24"/>
          <w:szCs w:val="24"/>
        </w:rPr>
        <w:t>На протяжении ряда лет просроченная кредиторская задолженность по бюджетным обязательствам отсутствует.</w:t>
      </w:r>
    </w:p>
    <w:p w:rsidR="00D63CFB" w:rsidRPr="00E34FA1" w:rsidRDefault="00D63CFB" w:rsidP="00D63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4FA1">
        <w:rPr>
          <w:rFonts w:ascii="Times New Roman" w:hAnsi="Times New Roman" w:cs="Times New Roman"/>
          <w:bCs/>
          <w:sz w:val="24"/>
          <w:szCs w:val="24"/>
        </w:rPr>
        <w:t>Увеличение значения показателя в 2012 году обусловлено также, с одной стороны, ростом налоговых поступлений за счёт роста совокупного фонда оплаты труда на предприятиях города и улучшения экономических показателей, характеризующих деятельность малого бизнеса, с другой стороны - снижением поступлений межбюджетных трансфертов (дотаций, субсидий и иных межбюджетных трансфертов), являющихся собственными доходами бюджета в соответствии со статьей 47 Бюджетного кодекса РФ.</w:t>
      </w:r>
      <w:proofErr w:type="gramEnd"/>
    </w:p>
    <w:p w:rsidR="00804720" w:rsidRDefault="00804720"/>
    <w:sectPr w:rsidR="008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27"/>
    <w:rsid w:val="00804720"/>
    <w:rsid w:val="00C47E27"/>
    <w:rsid w:val="00D6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C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C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6950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Жанна Александровна</dc:creator>
  <cp:keywords/>
  <dc:description/>
  <cp:lastModifiedBy>Якушева Жанна Александровна</cp:lastModifiedBy>
  <cp:revision>2</cp:revision>
  <dcterms:created xsi:type="dcterms:W3CDTF">2013-12-10T05:57:00Z</dcterms:created>
  <dcterms:modified xsi:type="dcterms:W3CDTF">2013-12-10T05:57:00Z</dcterms:modified>
</cp:coreProperties>
</file>