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53"/>
        <w:gridCol w:w="712"/>
        <w:gridCol w:w="4987"/>
      </w:tblGrid>
      <w:tr w:rsidR="00546C13" w:rsidRPr="006D11DB">
        <w:trPr>
          <w:trHeight w:val="1983"/>
        </w:trPr>
        <w:tc>
          <w:tcPr>
            <w:tcW w:w="4453" w:type="dxa"/>
          </w:tcPr>
          <w:p w:rsidR="00546C13" w:rsidRPr="006D11DB" w:rsidRDefault="00546C13" w:rsidP="00E03CBD">
            <w:pPr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546C13" w:rsidRPr="006D11DB" w:rsidRDefault="00546C13" w:rsidP="00D75126">
            <w:pPr>
              <w:rPr>
                <w:sz w:val="26"/>
                <w:szCs w:val="26"/>
              </w:rPr>
            </w:pPr>
          </w:p>
          <w:p w:rsidR="00546C13" w:rsidRPr="006D11DB" w:rsidRDefault="00546C13" w:rsidP="00D75126">
            <w:pPr>
              <w:rPr>
                <w:sz w:val="26"/>
                <w:szCs w:val="26"/>
              </w:rPr>
            </w:pPr>
          </w:p>
          <w:p w:rsidR="00546C13" w:rsidRPr="006D11DB" w:rsidRDefault="00546C13" w:rsidP="00D75126">
            <w:pPr>
              <w:rPr>
                <w:sz w:val="26"/>
                <w:szCs w:val="26"/>
              </w:rPr>
            </w:pPr>
          </w:p>
          <w:p w:rsidR="00546C13" w:rsidRPr="006D11DB" w:rsidRDefault="00546C13" w:rsidP="00D75126">
            <w:pPr>
              <w:rPr>
                <w:sz w:val="26"/>
                <w:szCs w:val="26"/>
              </w:rPr>
            </w:pPr>
          </w:p>
          <w:p w:rsidR="00546C13" w:rsidRPr="006D11DB" w:rsidRDefault="00546C13" w:rsidP="00D75126">
            <w:pPr>
              <w:rPr>
                <w:sz w:val="26"/>
                <w:szCs w:val="26"/>
              </w:rPr>
            </w:pPr>
          </w:p>
          <w:p w:rsidR="00546C13" w:rsidRPr="006D11DB" w:rsidRDefault="00546C13" w:rsidP="00D75126">
            <w:pPr>
              <w:rPr>
                <w:sz w:val="26"/>
                <w:szCs w:val="26"/>
              </w:rPr>
            </w:pPr>
          </w:p>
          <w:p w:rsidR="00546C13" w:rsidRDefault="00546C13" w:rsidP="00D75126">
            <w:pPr>
              <w:rPr>
                <w:sz w:val="12"/>
                <w:szCs w:val="12"/>
              </w:rPr>
            </w:pPr>
          </w:p>
          <w:p w:rsidR="00546C13" w:rsidRPr="00C70BED" w:rsidRDefault="00546C13" w:rsidP="00D75126">
            <w:pPr>
              <w:rPr>
                <w:sz w:val="12"/>
                <w:szCs w:val="12"/>
              </w:rPr>
            </w:pPr>
          </w:p>
          <w:p w:rsidR="00546C13" w:rsidRPr="006D11DB" w:rsidRDefault="00546C13" w:rsidP="00D75126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</w:tcPr>
          <w:p w:rsidR="00546C13" w:rsidRPr="00C70BED" w:rsidRDefault="00546C13" w:rsidP="00E03CBD">
            <w:pPr>
              <w:rPr>
                <w:sz w:val="25"/>
                <w:szCs w:val="25"/>
              </w:rPr>
            </w:pPr>
            <w:r w:rsidRPr="00C70BED">
              <w:rPr>
                <w:sz w:val="25"/>
                <w:szCs w:val="25"/>
              </w:rPr>
              <w:t>УТВЕРЖДАЮ</w:t>
            </w:r>
          </w:p>
          <w:p w:rsidR="00546C13" w:rsidRPr="00C70BED" w:rsidRDefault="00546C13" w:rsidP="00E03CBD">
            <w:pPr>
              <w:rPr>
                <w:sz w:val="25"/>
                <w:szCs w:val="25"/>
              </w:rPr>
            </w:pPr>
            <w:r w:rsidRPr="00C70BED">
              <w:rPr>
                <w:sz w:val="25"/>
                <w:szCs w:val="25"/>
              </w:rPr>
              <w:t>Председатель</w:t>
            </w:r>
            <w:r w:rsidR="0045071C">
              <w:rPr>
                <w:sz w:val="25"/>
                <w:szCs w:val="25"/>
              </w:rPr>
              <w:t xml:space="preserve"> </w:t>
            </w:r>
            <w:proofErr w:type="gramStart"/>
            <w:r w:rsidRPr="00C70BED">
              <w:rPr>
                <w:sz w:val="25"/>
                <w:szCs w:val="25"/>
              </w:rPr>
              <w:t>Контрольно-счётной</w:t>
            </w:r>
            <w:proofErr w:type="gramEnd"/>
          </w:p>
          <w:p w:rsidR="00546C13" w:rsidRPr="00C70BED" w:rsidRDefault="00546C13" w:rsidP="00E03CBD">
            <w:pPr>
              <w:rPr>
                <w:sz w:val="25"/>
                <w:szCs w:val="25"/>
              </w:rPr>
            </w:pPr>
            <w:r w:rsidRPr="00C70BED">
              <w:rPr>
                <w:sz w:val="25"/>
                <w:szCs w:val="25"/>
              </w:rPr>
              <w:t>палаты города Сургута</w:t>
            </w:r>
          </w:p>
          <w:p w:rsidR="00546C13" w:rsidRPr="00C70BED" w:rsidRDefault="00546C13" w:rsidP="00E03CBD">
            <w:pPr>
              <w:rPr>
                <w:sz w:val="25"/>
                <w:szCs w:val="25"/>
              </w:rPr>
            </w:pPr>
          </w:p>
          <w:p w:rsidR="00546C13" w:rsidRPr="00C70BED" w:rsidRDefault="00546C13" w:rsidP="00E03CBD">
            <w:pPr>
              <w:rPr>
                <w:sz w:val="25"/>
                <w:szCs w:val="25"/>
              </w:rPr>
            </w:pPr>
            <w:r w:rsidRPr="00C70BED">
              <w:rPr>
                <w:sz w:val="25"/>
                <w:szCs w:val="25"/>
              </w:rPr>
              <w:t>__________________И.И. Володина</w:t>
            </w:r>
          </w:p>
          <w:p w:rsidR="00546C13" w:rsidRPr="00C70BED" w:rsidRDefault="00546C13" w:rsidP="00E03CBD">
            <w:pPr>
              <w:rPr>
                <w:sz w:val="25"/>
                <w:szCs w:val="25"/>
              </w:rPr>
            </w:pPr>
            <w:r w:rsidRPr="00C70BED">
              <w:rPr>
                <w:sz w:val="25"/>
                <w:szCs w:val="25"/>
              </w:rPr>
              <w:t>«</w:t>
            </w:r>
            <w:r w:rsidR="00AE6C2D">
              <w:rPr>
                <w:sz w:val="25"/>
                <w:szCs w:val="25"/>
              </w:rPr>
              <w:t>02</w:t>
            </w:r>
            <w:r w:rsidRPr="00C70BED">
              <w:rPr>
                <w:sz w:val="25"/>
                <w:szCs w:val="25"/>
              </w:rPr>
              <w:t xml:space="preserve">» </w:t>
            </w:r>
            <w:r>
              <w:rPr>
                <w:sz w:val="25"/>
                <w:szCs w:val="25"/>
              </w:rPr>
              <w:t xml:space="preserve">декабря </w:t>
            </w:r>
            <w:r w:rsidRPr="00C70BED">
              <w:rPr>
                <w:sz w:val="25"/>
                <w:szCs w:val="25"/>
              </w:rPr>
              <w:t>2013 года</w:t>
            </w:r>
          </w:p>
          <w:p w:rsidR="00546C13" w:rsidRPr="00C70BED" w:rsidRDefault="00546C13" w:rsidP="00D75126">
            <w:pPr>
              <w:ind w:left="252"/>
              <w:rPr>
                <w:sz w:val="25"/>
                <w:szCs w:val="25"/>
              </w:rPr>
            </w:pPr>
          </w:p>
        </w:tc>
      </w:tr>
    </w:tbl>
    <w:p w:rsidR="00546C13" w:rsidRDefault="00546C13" w:rsidP="00E03CBD">
      <w:pPr>
        <w:jc w:val="center"/>
        <w:rPr>
          <w:sz w:val="25"/>
          <w:szCs w:val="25"/>
        </w:rPr>
      </w:pPr>
    </w:p>
    <w:p w:rsidR="00546C13" w:rsidRPr="00691136" w:rsidRDefault="00546C13" w:rsidP="00E03CBD">
      <w:pPr>
        <w:jc w:val="center"/>
        <w:rPr>
          <w:b/>
          <w:sz w:val="25"/>
          <w:szCs w:val="25"/>
        </w:rPr>
      </w:pPr>
      <w:r w:rsidRPr="00691136">
        <w:rPr>
          <w:b/>
          <w:sz w:val="25"/>
          <w:szCs w:val="25"/>
        </w:rPr>
        <w:t>ЗАКЛЮЧЕНИЕ № </w:t>
      </w:r>
      <w:r w:rsidR="00691136" w:rsidRPr="00691136">
        <w:rPr>
          <w:b/>
          <w:sz w:val="25"/>
          <w:szCs w:val="25"/>
        </w:rPr>
        <w:t>01-17-201/КСП</w:t>
      </w:r>
    </w:p>
    <w:p w:rsidR="00546C13" w:rsidRPr="00DF7E2C" w:rsidRDefault="00546C13" w:rsidP="001454D7">
      <w:pPr>
        <w:spacing w:before="120"/>
        <w:jc w:val="center"/>
        <w:rPr>
          <w:sz w:val="25"/>
          <w:szCs w:val="25"/>
        </w:rPr>
      </w:pPr>
      <w:r w:rsidRPr="00DF7E2C">
        <w:rPr>
          <w:sz w:val="25"/>
          <w:szCs w:val="25"/>
        </w:rPr>
        <w:t>на проект постановления Администрации города «Об утверждении муниципальной программы «Профилактика правонарушений в городе Сургу</w:t>
      </w:r>
      <w:bookmarkStart w:id="0" w:name="_GoBack"/>
      <w:bookmarkEnd w:id="0"/>
      <w:r w:rsidRPr="00DF7E2C">
        <w:rPr>
          <w:sz w:val="25"/>
          <w:szCs w:val="25"/>
        </w:rPr>
        <w:t>те на 2014 – 2016 годы»</w:t>
      </w:r>
    </w:p>
    <w:p w:rsidR="00546C13" w:rsidRPr="00DF7E2C" w:rsidRDefault="00546C13" w:rsidP="001454D7">
      <w:pPr>
        <w:pStyle w:val="a3"/>
        <w:spacing w:before="120"/>
        <w:ind w:left="0"/>
        <w:jc w:val="center"/>
        <w:rPr>
          <w:sz w:val="25"/>
          <w:szCs w:val="25"/>
        </w:rPr>
      </w:pPr>
      <w:r w:rsidRPr="00DF7E2C">
        <w:rPr>
          <w:sz w:val="25"/>
          <w:szCs w:val="25"/>
        </w:rPr>
        <w:t>1. Общие положения</w:t>
      </w:r>
    </w:p>
    <w:p w:rsidR="00546C13" w:rsidRPr="001454D7" w:rsidRDefault="00546C13" w:rsidP="001454D7">
      <w:pPr>
        <w:spacing w:before="120"/>
        <w:ind w:firstLine="709"/>
        <w:jc w:val="both"/>
        <w:rPr>
          <w:sz w:val="25"/>
          <w:szCs w:val="25"/>
        </w:rPr>
      </w:pPr>
      <w:proofErr w:type="gramStart"/>
      <w:r w:rsidRPr="001454D7">
        <w:rPr>
          <w:sz w:val="25"/>
          <w:szCs w:val="25"/>
        </w:rPr>
        <w:t xml:space="preserve">Контрольно-счётной палатой города в соответствии с подпунктом 9 пункта 1 статьи 9 Положения о Контрольно-счётной палате, утверждённого решением Думы города от 27.02.2007 №170- </w:t>
      </w:r>
      <w:r w:rsidRPr="001454D7">
        <w:rPr>
          <w:sz w:val="25"/>
          <w:szCs w:val="25"/>
          <w:lang w:val="en-US"/>
        </w:rPr>
        <w:t>IV</w:t>
      </w:r>
      <w:r w:rsidRPr="001454D7">
        <w:rPr>
          <w:sz w:val="25"/>
          <w:szCs w:val="25"/>
        </w:rPr>
        <w:t xml:space="preserve"> ДГ (с изменениями), пунктом 6 статьи 7 Положения о бюджетном процессе в городском округе город Сургут, утверждённого решением Думы города от 28.03.2008 № 358-</w:t>
      </w:r>
      <w:r w:rsidRPr="001454D7">
        <w:rPr>
          <w:sz w:val="25"/>
          <w:szCs w:val="25"/>
          <w:lang w:val="en-US"/>
        </w:rPr>
        <w:t>IV</w:t>
      </w:r>
      <w:r w:rsidRPr="001454D7">
        <w:rPr>
          <w:sz w:val="25"/>
          <w:szCs w:val="25"/>
        </w:rPr>
        <w:t xml:space="preserve"> ДГ (с изменениями), стандартом «Экспертиза проектов муниципальных программ города Сургута», утверждённым распоряжением Председателя</w:t>
      </w:r>
      <w:proofErr w:type="gramEnd"/>
      <w:r w:rsidR="00691136">
        <w:rPr>
          <w:sz w:val="25"/>
          <w:szCs w:val="25"/>
        </w:rPr>
        <w:t xml:space="preserve"> </w:t>
      </w:r>
      <w:r w:rsidRPr="001454D7">
        <w:rPr>
          <w:sz w:val="25"/>
          <w:szCs w:val="25"/>
        </w:rPr>
        <w:t>Контрольно-счётной палаты города от 08.11.2013 № 01-06-85/13КСП, проведена экспертиза проекта постановления Администрации города «Об утверждении муниципальной программы «Профилактика правонарушений в городе Сургуте на 2014 – 2016 годы» (далее – Программа), по результатам которой подготовлено настоящее заключение.</w:t>
      </w:r>
    </w:p>
    <w:p w:rsidR="00546C13" w:rsidRPr="001454D7" w:rsidRDefault="00546C13" w:rsidP="00D6195C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 xml:space="preserve">Администратором муниципальной программы является управление по делам гражданской обороны и чрезвычайным ситуациям Администрации города (далее </w:t>
      </w:r>
      <w:r w:rsidR="00BF3F3B">
        <w:rPr>
          <w:sz w:val="25"/>
          <w:szCs w:val="25"/>
        </w:rPr>
        <w:t xml:space="preserve">- </w:t>
      </w:r>
      <w:r w:rsidRPr="001454D7">
        <w:rPr>
          <w:sz w:val="25"/>
          <w:szCs w:val="25"/>
        </w:rPr>
        <w:t>ГО и ЧС).</w:t>
      </w:r>
    </w:p>
    <w:p w:rsidR="00546C13" w:rsidRPr="001454D7" w:rsidRDefault="00546C13" w:rsidP="00D6195C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>В ходе экспертизы Программа</w:t>
      </w:r>
      <w:r w:rsidR="00691136">
        <w:rPr>
          <w:sz w:val="25"/>
          <w:szCs w:val="25"/>
        </w:rPr>
        <w:t xml:space="preserve"> </w:t>
      </w:r>
      <w:r w:rsidRPr="001454D7">
        <w:rPr>
          <w:sz w:val="25"/>
          <w:szCs w:val="25"/>
        </w:rPr>
        <w:t>проверена на предмет:</w:t>
      </w:r>
    </w:p>
    <w:p w:rsidR="00546C13" w:rsidRPr="001454D7" w:rsidRDefault="00546C13" w:rsidP="00D6195C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>- соответствия Бюджетному кодексу РФ, Порядку принятия решений о разработке, формирования и реализации муниципальных программ городского округа город Сургут, утверждённому постановлением Администрации города от 17.07.2013 № 5159 (с изменениями, далее - Порядок) и другим нормативным правовым актам, действующим в данной сфере регулирования;</w:t>
      </w:r>
    </w:p>
    <w:p w:rsidR="00546C13" w:rsidRPr="001454D7" w:rsidRDefault="00546C13" w:rsidP="00D6195C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>- полноты анализа предметной ситуации;</w:t>
      </w:r>
    </w:p>
    <w:p w:rsidR="00546C13" w:rsidRPr="001454D7" w:rsidRDefault="00546C13" w:rsidP="00D6195C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>- соответствия целей и задач муниципальной программы, а также мер по их исполнению;</w:t>
      </w:r>
    </w:p>
    <w:p w:rsidR="00546C13" w:rsidRPr="001454D7" w:rsidRDefault="00546C13" w:rsidP="00D6195C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>- соответствия установленных значений программных показателей;</w:t>
      </w:r>
    </w:p>
    <w:p w:rsidR="00546C13" w:rsidRPr="001454D7" w:rsidRDefault="00546C13" w:rsidP="00BF3F3B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>- предлагаемых объёмов финансирования муниципальной программы.</w:t>
      </w:r>
    </w:p>
    <w:p w:rsidR="00546C13" w:rsidRPr="001454D7" w:rsidRDefault="00546C13" w:rsidP="00BF3F3B">
      <w:pPr>
        <w:ind w:firstLine="709"/>
        <w:jc w:val="both"/>
        <w:rPr>
          <w:sz w:val="25"/>
          <w:szCs w:val="25"/>
        </w:rPr>
      </w:pPr>
      <w:r w:rsidRPr="001454D7">
        <w:rPr>
          <w:sz w:val="25"/>
          <w:szCs w:val="25"/>
        </w:rPr>
        <w:t>Выводы по результатам настоящей экспертизы проекта Программы сформированы на основании представленных документов и информации.</w:t>
      </w:r>
    </w:p>
    <w:p w:rsidR="00546C13" w:rsidRDefault="00546C13" w:rsidP="001454D7">
      <w:pPr>
        <w:pStyle w:val="a3"/>
        <w:spacing w:before="120"/>
        <w:ind w:left="0"/>
        <w:jc w:val="center"/>
        <w:rPr>
          <w:sz w:val="25"/>
          <w:szCs w:val="25"/>
        </w:rPr>
      </w:pPr>
      <w:r w:rsidRPr="00DF7E2C">
        <w:rPr>
          <w:sz w:val="25"/>
          <w:szCs w:val="25"/>
        </w:rPr>
        <w:t>2. Анализ Программы</w:t>
      </w:r>
    </w:p>
    <w:p w:rsidR="00546C13" w:rsidRPr="00DF7E2C" w:rsidRDefault="00546C13" w:rsidP="001454D7">
      <w:pPr>
        <w:pStyle w:val="a3"/>
        <w:spacing w:before="120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2.1. Паспорт Программы утвержден распоряжением Администрации города от 30.08.2013 № 3106.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Согласно, </w:t>
      </w:r>
      <w:r w:rsidR="00AE6C2D">
        <w:rPr>
          <w:sz w:val="25"/>
          <w:szCs w:val="25"/>
        </w:rPr>
        <w:t>П</w:t>
      </w:r>
      <w:r w:rsidRPr="00DF7E2C">
        <w:rPr>
          <w:sz w:val="25"/>
          <w:szCs w:val="25"/>
        </w:rPr>
        <w:t xml:space="preserve">аспорта </w:t>
      </w:r>
      <w:proofErr w:type="spellStart"/>
      <w:r w:rsidRPr="00DF7E2C">
        <w:rPr>
          <w:sz w:val="25"/>
          <w:szCs w:val="25"/>
        </w:rPr>
        <w:t>экспертируемой</w:t>
      </w:r>
      <w:proofErr w:type="spellEnd"/>
      <w:r w:rsidR="00691136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 xml:space="preserve">Программы </w:t>
      </w:r>
      <w:proofErr w:type="spellStart"/>
      <w:r w:rsidRPr="00DF7E2C">
        <w:rPr>
          <w:sz w:val="25"/>
          <w:szCs w:val="25"/>
        </w:rPr>
        <w:t>соадминистраторами</w:t>
      </w:r>
      <w:proofErr w:type="spellEnd"/>
      <w:r w:rsidRPr="00DF7E2C">
        <w:rPr>
          <w:sz w:val="25"/>
          <w:szCs w:val="25"/>
        </w:rPr>
        <w:t xml:space="preserve"> являются: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- муниципальное казенное учреждение «Единая – диспетчерская служба города Сургута» (далее </w:t>
      </w:r>
      <w:r w:rsidR="00BF3F3B">
        <w:rPr>
          <w:sz w:val="25"/>
          <w:szCs w:val="25"/>
        </w:rPr>
        <w:t xml:space="preserve">- </w:t>
      </w:r>
      <w:r w:rsidRPr="00DF7E2C">
        <w:rPr>
          <w:sz w:val="25"/>
          <w:szCs w:val="25"/>
        </w:rPr>
        <w:t>МКУ «ЕДДС»);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- муниципальное казенное учреждение «Наш город» (далее </w:t>
      </w:r>
      <w:r w:rsidR="00BF3F3B">
        <w:rPr>
          <w:sz w:val="25"/>
          <w:szCs w:val="25"/>
        </w:rPr>
        <w:t xml:space="preserve">- </w:t>
      </w:r>
      <w:r w:rsidRPr="00DF7E2C">
        <w:rPr>
          <w:sz w:val="25"/>
          <w:szCs w:val="25"/>
        </w:rPr>
        <w:t>МКУ «Наш город»);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департамент образования Администрации города;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lastRenderedPageBreak/>
        <w:t>- департамент культуры, молодежной политики и спорта Администрации города</w:t>
      </w:r>
      <w:r>
        <w:rPr>
          <w:sz w:val="25"/>
          <w:szCs w:val="25"/>
        </w:rPr>
        <w:t xml:space="preserve"> (далее </w:t>
      </w:r>
      <w:r w:rsidR="00BF3F3B"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ДКМПиС</w:t>
      </w:r>
      <w:proofErr w:type="spellEnd"/>
      <w:r>
        <w:rPr>
          <w:sz w:val="25"/>
          <w:szCs w:val="25"/>
        </w:rPr>
        <w:t>)</w:t>
      </w:r>
      <w:r w:rsidRPr="00DF7E2C">
        <w:rPr>
          <w:sz w:val="25"/>
          <w:szCs w:val="25"/>
        </w:rPr>
        <w:t>;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управление информационной политики Администрации города;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отдел по организации работы административной комиссии Администрации города;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отдел по организации работы комиссии по делам несовершеннолетних</w:t>
      </w:r>
      <w:r>
        <w:rPr>
          <w:sz w:val="25"/>
          <w:szCs w:val="25"/>
        </w:rPr>
        <w:t xml:space="preserve"> и</w:t>
      </w:r>
      <w:r w:rsidRPr="00DF7E2C">
        <w:rPr>
          <w:sz w:val="25"/>
          <w:szCs w:val="25"/>
        </w:rPr>
        <w:t xml:space="preserve"> защите их прав.</w:t>
      </w:r>
    </w:p>
    <w:p w:rsidR="00546C13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proofErr w:type="gramStart"/>
      <w:r w:rsidRPr="00DF7E2C">
        <w:rPr>
          <w:sz w:val="25"/>
          <w:szCs w:val="25"/>
        </w:rPr>
        <w:t>Постановлением</w:t>
      </w:r>
      <w:r w:rsidR="00691136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>Администрации города № 8435 от 20.11.2013 «О внесении изменений в постановление Администрации города от 17.07.2013 № 5159 «Об утверждении порядка принятия решений о разработке, формирования и реализации муниципальных программ городского округа город Сургут</w:t>
      </w:r>
      <w:r>
        <w:rPr>
          <w:sz w:val="25"/>
          <w:szCs w:val="25"/>
        </w:rPr>
        <w:t>»</w:t>
      </w:r>
      <w:r w:rsidRPr="00DF7E2C">
        <w:rPr>
          <w:sz w:val="25"/>
          <w:szCs w:val="25"/>
        </w:rPr>
        <w:t>» п.5.4. дополнен абзацем следующего содержания «Информация, отражаемая в разделах муниципальной программы, должна соответствовать паспорту муниципальной программы, утвержденному распоряжением Администрации города о разработке муниципальной программы».</w:t>
      </w:r>
      <w:proofErr w:type="gramEnd"/>
      <w:r w:rsidR="00691136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 xml:space="preserve">В представленной Программе в графу «Ответственный исполнитель (администратор, </w:t>
      </w:r>
      <w:proofErr w:type="spellStart"/>
      <w:r w:rsidRPr="00DF7E2C">
        <w:rPr>
          <w:sz w:val="25"/>
          <w:szCs w:val="25"/>
        </w:rPr>
        <w:t>соадминистратор</w:t>
      </w:r>
      <w:proofErr w:type="spellEnd"/>
      <w:r w:rsidRPr="00DF7E2C">
        <w:rPr>
          <w:sz w:val="25"/>
          <w:szCs w:val="25"/>
        </w:rPr>
        <w:t>)»</w:t>
      </w:r>
      <w:r w:rsidR="00691136">
        <w:rPr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 w:rsidRPr="00DF7E2C">
        <w:rPr>
          <w:sz w:val="25"/>
          <w:szCs w:val="25"/>
        </w:rPr>
        <w:t xml:space="preserve"> Приложениях 1,</w:t>
      </w:r>
      <w:r w:rsidR="00691136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>2 включено Управление МВД РФ</w:t>
      </w:r>
      <w:r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>по городу Сургуту</w:t>
      </w:r>
      <w:r w:rsidR="00691136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 xml:space="preserve">которое, </w:t>
      </w:r>
      <w:proofErr w:type="gramStart"/>
      <w:r w:rsidRPr="00DF7E2C">
        <w:rPr>
          <w:sz w:val="25"/>
          <w:szCs w:val="25"/>
        </w:rPr>
        <w:t>согласно Паспорта</w:t>
      </w:r>
      <w:proofErr w:type="gramEnd"/>
      <w:r w:rsidR="00E6785E">
        <w:rPr>
          <w:sz w:val="25"/>
          <w:szCs w:val="25"/>
        </w:rPr>
        <w:t>,</w:t>
      </w:r>
      <w:r w:rsidRPr="00DF7E2C">
        <w:rPr>
          <w:sz w:val="25"/>
          <w:szCs w:val="25"/>
        </w:rPr>
        <w:t xml:space="preserve"> не является ни администратором, ни </w:t>
      </w:r>
      <w:proofErr w:type="spellStart"/>
      <w:r w:rsidRPr="00DF7E2C">
        <w:rPr>
          <w:sz w:val="25"/>
          <w:szCs w:val="25"/>
        </w:rPr>
        <w:t>соадминистратором</w:t>
      </w:r>
      <w:proofErr w:type="spellEnd"/>
      <w:r w:rsidRPr="00DF7E2C">
        <w:rPr>
          <w:sz w:val="25"/>
          <w:szCs w:val="25"/>
        </w:rPr>
        <w:t xml:space="preserve"> данной </w:t>
      </w:r>
      <w:r w:rsidR="00E6785E">
        <w:rPr>
          <w:sz w:val="25"/>
          <w:szCs w:val="25"/>
        </w:rPr>
        <w:t>Программы</w:t>
      </w:r>
      <w:r w:rsidRPr="00DF7E2C">
        <w:rPr>
          <w:sz w:val="25"/>
          <w:szCs w:val="25"/>
        </w:rPr>
        <w:t xml:space="preserve">. </w:t>
      </w:r>
    </w:p>
    <w:p w:rsidR="00CA6618" w:rsidRDefault="00AE6C2D" w:rsidP="007A436D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Управление информационной политики Администрации</w:t>
      </w:r>
      <w:r w:rsidR="00CA6618">
        <w:rPr>
          <w:sz w:val="25"/>
          <w:szCs w:val="25"/>
        </w:rPr>
        <w:t xml:space="preserve">, </w:t>
      </w:r>
      <w:proofErr w:type="spellStart"/>
      <w:r w:rsidR="00CA6618">
        <w:rPr>
          <w:sz w:val="25"/>
          <w:szCs w:val="25"/>
        </w:rPr>
        <w:t>ДКМПиС</w:t>
      </w:r>
      <w:proofErr w:type="spellEnd"/>
      <w:r>
        <w:rPr>
          <w:sz w:val="25"/>
          <w:szCs w:val="25"/>
        </w:rPr>
        <w:t xml:space="preserve"> не участву</w:t>
      </w:r>
      <w:r w:rsidR="006E102E">
        <w:rPr>
          <w:sz w:val="25"/>
          <w:szCs w:val="25"/>
        </w:rPr>
        <w:t>ю</w:t>
      </w:r>
      <w:r>
        <w:rPr>
          <w:sz w:val="25"/>
          <w:szCs w:val="25"/>
        </w:rPr>
        <w:t>т ни в одном мероприятии Программы</w:t>
      </w:r>
      <w:r w:rsidR="00081675">
        <w:rPr>
          <w:sz w:val="25"/>
          <w:szCs w:val="25"/>
        </w:rPr>
        <w:t>, хотя в Паспорте явля</w:t>
      </w:r>
      <w:r w:rsidR="00CA6618">
        <w:rPr>
          <w:sz w:val="25"/>
          <w:szCs w:val="25"/>
        </w:rPr>
        <w:t>ю</w:t>
      </w:r>
      <w:r w:rsidR="00081675">
        <w:rPr>
          <w:sz w:val="25"/>
          <w:szCs w:val="25"/>
        </w:rPr>
        <w:t xml:space="preserve">тся </w:t>
      </w:r>
      <w:proofErr w:type="spellStart"/>
      <w:r w:rsidR="00081675">
        <w:rPr>
          <w:sz w:val="25"/>
          <w:szCs w:val="25"/>
        </w:rPr>
        <w:t>соадминистратор</w:t>
      </w:r>
      <w:r w:rsidR="00CA6618">
        <w:rPr>
          <w:sz w:val="25"/>
          <w:szCs w:val="25"/>
        </w:rPr>
        <w:t>а</w:t>
      </w:r>
      <w:r w:rsidR="00081675">
        <w:rPr>
          <w:sz w:val="25"/>
          <w:szCs w:val="25"/>
        </w:rPr>
        <w:t>м</w:t>
      </w:r>
      <w:r w:rsidR="00CA6618">
        <w:rPr>
          <w:sz w:val="25"/>
          <w:szCs w:val="25"/>
        </w:rPr>
        <w:t>и</w:t>
      </w:r>
      <w:proofErr w:type="spellEnd"/>
      <w:r w:rsidR="00CA6618">
        <w:rPr>
          <w:sz w:val="25"/>
          <w:szCs w:val="25"/>
        </w:rPr>
        <w:t>.</w:t>
      </w:r>
    </w:p>
    <w:p w:rsidR="006E102E" w:rsidRDefault="00FF238C" w:rsidP="007A436D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Департамент</w:t>
      </w:r>
      <w:r w:rsidR="00A97CD2">
        <w:rPr>
          <w:sz w:val="25"/>
          <w:szCs w:val="25"/>
        </w:rPr>
        <w:t xml:space="preserve"> образования</w:t>
      </w:r>
      <w:r>
        <w:rPr>
          <w:sz w:val="25"/>
          <w:szCs w:val="25"/>
        </w:rPr>
        <w:t xml:space="preserve"> как </w:t>
      </w:r>
      <w:proofErr w:type="spellStart"/>
      <w:r>
        <w:rPr>
          <w:sz w:val="25"/>
          <w:szCs w:val="25"/>
        </w:rPr>
        <w:t>соадминистратор</w:t>
      </w:r>
      <w:proofErr w:type="spellEnd"/>
      <w:r>
        <w:rPr>
          <w:sz w:val="25"/>
          <w:szCs w:val="25"/>
        </w:rPr>
        <w:t xml:space="preserve"> участвует в мероприятиях Программы, </w:t>
      </w:r>
      <w:r w:rsidR="00B7079A">
        <w:rPr>
          <w:sz w:val="25"/>
          <w:szCs w:val="25"/>
        </w:rPr>
        <w:t xml:space="preserve">по которым </w:t>
      </w:r>
      <w:r w:rsidR="00CA6618">
        <w:rPr>
          <w:sz w:val="25"/>
          <w:szCs w:val="25"/>
        </w:rPr>
        <w:t>не обеспе</w:t>
      </w:r>
      <w:r w:rsidR="006E102E">
        <w:rPr>
          <w:sz w:val="25"/>
          <w:szCs w:val="25"/>
        </w:rPr>
        <w:t>ч</w:t>
      </w:r>
      <w:r w:rsidR="00CA6618">
        <w:rPr>
          <w:sz w:val="25"/>
          <w:szCs w:val="25"/>
        </w:rPr>
        <w:t>ено</w:t>
      </w:r>
      <w:r w:rsidR="006E102E">
        <w:rPr>
          <w:sz w:val="25"/>
          <w:szCs w:val="25"/>
        </w:rPr>
        <w:t xml:space="preserve"> финансировани</w:t>
      </w:r>
      <w:r w:rsidR="00A97CD2">
        <w:rPr>
          <w:sz w:val="25"/>
          <w:szCs w:val="25"/>
        </w:rPr>
        <w:t>е</w:t>
      </w:r>
      <w:r w:rsidR="00B7079A">
        <w:rPr>
          <w:sz w:val="25"/>
          <w:szCs w:val="25"/>
        </w:rPr>
        <w:t xml:space="preserve"> для достижения показателей</w:t>
      </w:r>
      <w:r w:rsidR="006E102E">
        <w:rPr>
          <w:sz w:val="25"/>
          <w:szCs w:val="25"/>
        </w:rPr>
        <w:t xml:space="preserve">. </w:t>
      </w:r>
    </w:p>
    <w:p w:rsidR="006E102E" w:rsidRDefault="006E102E" w:rsidP="007A436D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Следовательно, включение в перечень </w:t>
      </w:r>
      <w:proofErr w:type="spellStart"/>
      <w:r>
        <w:rPr>
          <w:sz w:val="25"/>
          <w:szCs w:val="25"/>
        </w:rPr>
        <w:t>соадминистраторов</w:t>
      </w:r>
      <w:proofErr w:type="spellEnd"/>
      <w:r>
        <w:rPr>
          <w:sz w:val="25"/>
          <w:szCs w:val="25"/>
        </w:rPr>
        <w:t xml:space="preserve"> Программы, перечисленных выше департаментов и управления не целесообразно.</w:t>
      </w:r>
    </w:p>
    <w:p w:rsidR="00546C13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абзацем 8 п.5.4 Администратору Программы</w:t>
      </w:r>
      <w:r w:rsidRPr="00DF7E2C">
        <w:rPr>
          <w:sz w:val="25"/>
          <w:szCs w:val="25"/>
        </w:rPr>
        <w:t xml:space="preserve"> необходим</w:t>
      </w:r>
      <w:r>
        <w:rPr>
          <w:sz w:val="25"/>
          <w:szCs w:val="25"/>
        </w:rPr>
        <w:t>о</w:t>
      </w:r>
      <w:r w:rsidRPr="00DF7E2C">
        <w:rPr>
          <w:sz w:val="25"/>
          <w:szCs w:val="25"/>
        </w:rPr>
        <w:t xml:space="preserve"> привести в</w:t>
      </w:r>
      <w:r>
        <w:rPr>
          <w:sz w:val="25"/>
          <w:szCs w:val="25"/>
        </w:rPr>
        <w:t>о взаимное</w:t>
      </w:r>
      <w:r w:rsidRPr="00DF7E2C">
        <w:rPr>
          <w:sz w:val="25"/>
          <w:szCs w:val="25"/>
        </w:rPr>
        <w:t xml:space="preserve"> соответствие Паспорт</w:t>
      </w:r>
      <w:r>
        <w:rPr>
          <w:sz w:val="25"/>
          <w:szCs w:val="25"/>
        </w:rPr>
        <w:t xml:space="preserve"> и</w:t>
      </w:r>
      <w:r w:rsidR="00691136">
        <w:rPr>
          <w:sz w:val="25"/>
          <w:szCs w:val="25"/>
        </w:rPr>
        <w:t xml:space="preserve"> </w:t>
      </w:r>
      <w:r>
        <w:rPr>
          <w:sz w:val="25"/>
          <w:szCs w:val="25"/>
        </w:rPr>
        <w:t>П</w:t>
      </w:r>
      <w:r w:rsidRPr="00DF7E2C">
        <w:rPr>
          <w:sz w:val="25"/>
          <w:szCs w:val="25"/>
        </w:rPr>
        <w:t>рограмм</w:t>
      </w:r>
      <w:r>
        <w:rPr>
          <w:sz w:val="25"/>
          <w:szCs w:val="25"/>
        </w:rPr>
        <w:t xml:space="preserve">у по </w:t>
      </w:r>
      <w:proofErr w:type="spellStart"/>
      <w:r>
        <w:rPr>
          <w:sz w:val="25"/>
          <w:szCs w:val="25"/>
        </w:rPr>
        <w:t>соадминистраторам</w:t>
      </w:r>
      <w:proofErr w:type="spellEnd"/>
      <w:r>
        <w:rPr>
          <w:sz w:val="25"/>
          <w:szCs w:val="25"/>
        </w:rPr>
        <w:t>.</w:t>
      </w:r>
    </w:p>
    <w:p w:rsidR="00546C13" w:rsidRPr="00DF7E2C" w:rsidRDefault="00546C13" w:rsidP="007A436D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2.2. В результате анализа соответствия содержания муниципальной программы</w:t>
      </w:r>
      <w:r w:rsidR="00691136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>требованиям статьи 4 Порядка, установлено</w:t>
      </w:r>
      <w:r w:rsidR="00F05637">
        <w:rPr>
          <w:sz w:val="25"/>
          <w:szCs w:val="25"/>
        </w:rPr>
        <w:t xml:space="preserve"> следующее</w:t>
      </w:r>
      <w:r w:rsidRPr="00DF7E2C">
        <w:rPr>
          <w:sz w:val="25"/>
          <w:szCs w:val="25"/>
        </w:rPr>
        <w:t>:</w:t>
      </w:r>
    </w:p>
    <w:p w:rsidR="00546C13" w:rsidRPr="00DF7E2C" w:rsidRDefault="00546C13" w:rsidP="00D61F57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В разделе 1 «Характеристика текущего состояния»</w:t>
      </w:r>
      <w:r w:rsidR="00691136">
        <w:rPr>
          <w:sz w:val="25"/>
          <w:szCs w:val="25"/>
        </w:rPr>
        <w:t xml:space="preserve"> </w:t>
      </w:r>
      <w:r w:rsidR="008B42C2">
        <w:rPr>
          <w:sz w:val="25"/>
          <w:szCs w:val="25"/>
        </w:rPr>
        <w:t>П</w:t>
      </w:r>
      <w:r w:rsidRPr="00DF7E2C">
        <w:rPr>
          <w:sz w:val="25"/>
          <w:szCs w:val="25"/>
        </w:rPr>
        <w:t xml:space="preserve">рограммы дано обоснование текущего состояния в сфере профилактики правонарушений общественного порядка в городе Сургуте. В обоснование существующей проблемы на территории города в докладе о результатах и основных направлениях обозначены </w:t>
      </w:r>
      <w:r>
        <w:rPr>
          <w:sz w:val="25"/>
          <w:szCs w:val="25"/>
        </w:rPr>
        <w:t>главные</w:t>
      </w:r>
      <w:r w:rsidRPr="00DF7E2C">
        <w:rPr>
          <w:sz w:val="25"/>
          <w:szCs w:val="25"/>
        </w:rPr>
        <w:t xml:space="preserve"> направления профилактики правонарушений:</w:t>
      </w:r>
    </w:p>
    <w:p w:rsidR="00546C13" w:rsidRPr="00DF7E2C" w:rsidRDefault="00546C13" w:rsidP="00D61F57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профилактика правонарушений в общественных местах;</w:t>
      </w:r>
    </w:p>
    <w:p w:rsidR="00546C13" w:rsidRPr="00DF7E2C" w:rsidRDefault="00546C13" w:rsidP="00D61F57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профилактика правонарушений в сфере безопасности дорожного движения;</w:t>
      </w:r>
    </w:p>
    <w:p w:rsidR="00546C13" w:rsidRPr="00DF7E2C" w:rsidRDefault="00546C13" w:rsidP="00D61F57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профилактика правонарушений среди лиц без определённого места жительства;</w:t>
      </w:r>
    </w:p>
    <w:p w:rsidR="00546C13" w:rsidRPr="00DF7E2C" w:rsidRDefault="00546C13" w:rsidP="00D61F57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профилактики правонарушений совершенных несовершеннолетними лицами.</w:t>
      </w:r>
    </w:p>
    <w:p w:rsidR="00546C13" w:rsidRPr="00DF7E2C" w:rsidRDefault="00546C13" w:rsidP="00BF7557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Полномочия органов местного самоуправления в сфере профилактики правонарушений общественного порядка, безопасности дорожного движения, по образовани</w:t>
      </w:r>
      <w:r w:rsidR="008B42C2">
        <w:rPr>
          <w:sz w:val="25"/>
          <w:szCs w:val="25"/>
        </w:rPr>
        <w:t xml:space="preserve">ю </w:t>
      </w:r>
      <w:r w:rsidRPr="00DF7E2C">
        <w:rPr>
          <w:sz w:val="25"/>
          <w:szCs w:val="25"/>
        </w:rPr>
        <w:t>и организации деятельности комиссии по делам несовершеннолетних</w:t>
      </w:r>
      <w:r>
        <w:rPr>
          <w:sz w:val="25"/>
          <w:szCs w:val="25"/>
        </w:rPr>
        <w:t>,</w:t>
      </w:r>
      <w:r w:rsidRPr="00DF7E2C">
        <w:rPr>
          <w:sz w:val="25"/>
          <w:szCs w:val="25"/>
        </w:rPr>
        <w:t xml:space="preserve"> защите их прав и по созданию административных комиссий, организационному обеспечению их деятельности осуществляются в соответствии с Федеральным законом от 06.10.2003 №</w:t>
      </w:r>
      <w:r>
        <w:rPr>
          <w:sz w:val="25"/>
          <w:szCs w:val="25"/>
        </w:rPr>
        <w:t> </w:t>
      </w:r>
      <w:r w:rsidRPr="00DF7E2C">
        <w:rPr>
          <w:sz w:val="25"/>
          <w:szCs w:val="25"/>
        </w:rPr>
        <w:t>131-ФЗ «Об общих принципах организации местного самоуправления в РФ».</w:t>
      </w:r>
    </w:p>
    <w:p w:rsidR="00546C13" w:rsidRPr="00DF7E2C" w:rsidRDefault="00546C13" w:rsidP="00BF755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Федеральным законом от 24.06.1999 </w:t>
      </w:r>
      <w:hyperlink r:id="rId9" w:history="1">
        <w:r w:rsidRPr="00DF7E2C">
          <w:rPr>
            <w:sz w:val="25"/>
            <w:szCs w:val="25"/>
          </w:rPr>
          <w:t>N 120-ФЗ</w:t>
        </w:r>
      </w:hyperlink>
      <w:r w:rsidRPr="00DF7E2C">
        <w:rPr>
          <w:sz w:val="25"/>
          <w:szCs w:val="25"/>
        </w:rPr>
        <w:t xml:space="preserve"> </w:t>
      </w:r>
      <w:r w:rsidR="008B42C2">
        <w:rPr>
          <w:sz w:val="25"/>
          <w:szCs w:val="25"/>
        </w:rPr>
        <w:t>«</w:t>
      </w:r>
      <w:r w:rsidRPr="00DF7E2C">
        <w:rPr>
          <w:sz w:val="25"/>
          <w:szCs w:val="25"/>
        </w:rPr>
        <w:t>Об основах системы профилактики безнадзорности и правонарушений несовершеннолетних</w:t>
      </w:r>
      <w:r w:rsidR="008B42C2">
        <w:rPr>
          <w:sz w:val="25"/>
          <w:szCs w:val="25"/>
        </w:rPr>
        <w:t>»</w:t>
      </w:r>
      <w:r w:rsidRPr="00DF7E2C">
        <w:rPr>
          <w:sz w:val="25"/>
          <w:szCs w:val="25"/>
        </w:rPr>
        <w:t xml:space="preserve"> определено, что в «систему профилактики безнадзорности и правонарушений несовершеннолетних входят комиссии по делам несовершеннолетних и защите их прав» (в ред. Федеральных законов от 30.12.2012 </w:t>
      </w:r>
      <w:hyperlink r:id="rId10" w:history="1">
        <w:r w:rsidRPr="00DF7E2C">
          <w:rPr>
            <w:sz w:val="25"/>
            <w:szCs w:val="25"/>
          </w:rPr>
          <w:t>N 297-ФЗ</w:t>
        </w:r>
      </w:hyperlink>
      <w:r w:rsidRPr="00DF7E2C">
        <w:rPr>
          <w:sz w:val="25"/>
          <w:szCs w:val="25"/>
        </w:rPr>
        <w:t xml:space="preserve">, от 02.07.2013 </w:t>
      </w:r>
      <w:hyperlink r:id="rId11" w:history="1">
        <w:r w:rsidRPr="00DF7E2C">
          <w:rPr>
            <w:sz w:val="25"/>
            <w:szCs w:val="25"/>
          </w:rPr>
          <w:t>N 185-ФЗ</w:t>
        </w:r>
      </w:hyperlink>
      <w:r w:rsidRPr="00DF7E2C">
        <w:rPr>
          <w:sz w:val="25"/>
          <w:szCs w:val="25"/>
        </w:rPr>
        <w:t>).</w:t>
      </w:r>
    </w:p>
    <w:p w:rsidR="00546C13" w:rsidRPr="00DF7E2C" w:rsidRDefault="00546C13" w:rsidP="007A7EC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DF7E2C">
        <w:rPr>
          <w:sz w:val="25"/>
          <w:szCs w:val="25"/>
        </w:rPr>
        <w:lastRenderedPageBreak/>
        <w:t xml:space="preserve">На основании статьи 5 главы 3 закона Ханты - Мансийского автономного округа - Югры от 12 октября 2005 года N 74-оз </w:t>
      </w:r>
      <w:r>
        <w:rPr>
          <w:sz w:val="25"/>
          <w:szCs w:val="25"/>
        </w:rPr>
        <w:t>«</w:t>
      </w:r>
      <w:r w:rsidRPr="00DF7E2C">
        <w:rPr>
          <w:sz w:val="25"/>
          <w:szCs w:val="25"/>
        </w:rPr>
        <w:t>О комиссиях по делам несовершеннолетних и защите их прав в Ханты - Мансийском автономном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</w:r>
      <w:r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>органы местного самоуправления города Сургута</w:t>
      </w:r>
      <w:proofErr w:type="gramEnd"/>
      <w:r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>наделяются</w:t>
      </w:r>
      <w:r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 xml:space="preserve">государственными полномочиями по образованию территориальных комиссий при органах местного самоуправления в городском округе город Сургут и по организации их деятельности, определенным федеральным и </w:t>
      </w:r>
      <w:r>
        <w:rPr>
          <w:sz w:val="25"/>
          <w:szCs w:val="25"/>
        </w:rPr>
        <w:t xml:space="preserve">окружным </w:t>
      </w:r>
      <w:r w:rsidRPr="00DF7E2C">
        <w:rPr>
          <w:sz w:val="25"/>
          <w:szCs w:val="25"/>
        </w:rPr>
        <w:t>законодательством, в том числе по применению (исполнению) законодательства об административных правонарушениях.</w:t>
      </w:r>
    </w:p>
    <w:p w:rsidR="00546C13" w:rsidRPr="00DF7E2C" w:rsidRDefault="00546C13" w:rsidP="00D73DA2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DF7E2C">
        <w:rPr>
          <w:sz w:val="25"/>
          <w:szCs w:val="25"/>
        </w:rPr>
        <w:t xml:space="preserve">На основании статьи 4 главы 2 </w:t>
      </w:r>
      <w:hyperlink r:id="rId12" w:history="1">
        <w:r w:rsidRPr="00DF7E2C">
          <w:rPr>
            <w:sz w:val="25"/>
            <w:szCs w:val="25"/>
          </w:rPr>
          <w:t>закона</w:t>
        </w:r>
      </w:hyperlink>
      <w:r w:rsidRPr="00DF7E2C">
        <w:rPr>
          <w:sz w:val="25"/>
          <w:szCs w:val="25"/>
        </w:rPr>
        <w:t xml:space="preserve"> Ханты - Мансийского автономного округа - Югры от 02.03.2009 N 5-оз </w:t>
      </w:r>
      <w:r>
        <w:rPr>
          <w:sz w:val="25"/>
          <w:szCs w:val="25"/>
        </w:rPr>
        <w:t>«</w:t>
      </w:r>
      <w:r w:rsidRPr="00DF7E2C">
        <w:rPr>
          <w:sz w:val="25"/>
          <w:szCs w:val="25"/>
        </w:rPr>
        <w:t xml:space="preserve">Об административных комиссиях в Ханты - Мансийском автономном округе </w:t>
      </w:r>
      <w:r>
        <w:rPr>
          <w:sz w:val="25"/>
          <w:szCs w:val="25"/>
        </w:rPr>
        <w:t>–</w:t>
      </w:r>
      <w:r w:rsidRPr="00DF7E2C">
        <w:rPr>
          <w:sz w:val="25"/>
          <w:szCs w:val="25"/>
        </w:rPr>
        <w:t xml:space="preserve"> Югре</w:t>
      </w:r>
      <w:r>
        <w:rPr>
          <w:sz w:val="25"/>
          <w:szCs w:val="25"/>
        </w:rPr>
        <w:t>»</w:t>
      </w:r>
      <w:r w:rsidRPr="00DF7E2C">
        <w:rPr>
          <w:sz w:val="25"/>
          <w:szCs w:val="25"/>
        </w:rPr>
        <w:t xml:space="preserve"> органы местного самоуправления города Сургута, наделены  отдельными государственными полномочиями по созданию административных комиссий и организационному обеспечению их деятельности.</w:t>
      </w:r>
    </w:p>
    <w:p w:rsidR="00546C13" w:rsidRDefault="00546C13" w:rsidP="00A35BE7">
      <w:pPr>
        <w:ind w:firstLine="709"/>
        <w:jc w:val="both"/>
        <w:rPr>
          <w:sz w:val="25"/>
          <w:szCs w:val="25"/>
        </w:rPr>
      </w:pPr>
      <w:proofErr w:type="spellStart"/>
      <w:r w:rsidRPr="00DF7E2C">
        <w:rPr>
          <w:sz w:val="25"/>
          <w:szCs w:val="25"/>
        </w:rPr>
        <w:t>К</w:t>
      </w:r>
      <w:r>
        <w:rPr>
          <w:sz w:val="25"/>
          <w:szCs w:val="25"/>
        </w:rPr>
        <w:t>онтрольно</w:t>
      </w:r>
      <w:proofErr w:type="spellEnd"/>
      <w:r>
        <w:rPr>
          <w:sz w:val="25"/>
          <w:szCs w:val="25"/>
        </w:rPr>
        <w:t xml:space="preserve"> – счетная палата (далее </w:t>
      </w:r>
      <w:r w:rsidR="00BF3F3B">
        <w:rPr>
          <w:sz w:val="25"/>
          <w:szCs w:val="25"/>
        </w:rPr>
        <w:t xml:space="preserve">- </w:t>
      </w:r>
      <w:r>
        <w:rPr>
          <w:sz w:val="25"/>
          <w:szCs w:val="25"/>
        </w:rPr>
        <w:t>КСП)</w:t>
      </w:r>
      <w:r w:rsidRPr="00DF7E2C">
        <w:rPr>
          <w:sz w:val="25"/>
          <w:szCs w:val="25"/>
        </w:rPr>
        <w:t xml:space="preserve"> считает, что в связи с тем, что органы местного самоуправления наделяются отдельными государственными полномочиями на основании вышеперечисленных законодательных актов, </w:t>
      </w:r>
      <w:r>
        <w:rPr>
          <w:sz w:val="25"/>
          <w:szCs w:val="25"/>
        </w:rPr>
        <w:t>с</w:t>
      </w:r>
      <w:r w:rsidRPr="00DF7E2C">
        <w:rPr>
          <w:sz w:val="25"/>
          <w:szCs w:val="25"/>
        </w:rPr>
        <w:t xml:space="preserve">ледует </w:t>
      </w:r>
      <w:r>
        <w:rPr>
          <w:sz w:val="25"/>
          <w:szCs w:val="25"/>
        </w:rPr>
        <w:t xml:space="preserve">их </w:t>
      </w:r>
      <w:r w:rsidRPr="00DF7E2C">
        <w:rPr>
          <w:sz w:val="25"/>
          <w:szCs w:val="25"/>
        </w:rPr>
        <w:t>включить в правовое обоснование решения проблемы</w:t>
      </w:r>
      <w:r>
        <w:rPr>
          <w:sz w:val="25"/>
          <w:szCs w:val="25"/>
        </w:rPr>
        <w:t xml:space="preserve"> и внести соответствующие изменения в Паспорт и раздел 1 Программы</w:t>
      </w:r>
      <w:r w:rsidRPr="00DF7E2C">
        <w:rPr>
          <w:sz w:val="25"/>
          <w:szCs w:val="25"/>
        </w:rPr>
        <w:t>.</w:t>
      </w:r>
    </w:p>
    <w:p w:rsidR="00546C13" w:rsidRDefault="00546C13" w:rsidP="00A35BE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Обращаем внимание, что в Паспорте Программы имеется ссылка на нормативный документ, а именно, Постановление Администрации города от 01.03.2011 № 970 «О долгосрочных целевых программах городского округа Сургут», которое утратило силу в связи с принятием нового Порядка.</w:t>
      </w:r>
    </w:p>
    <w:p w:rsidR="00546C13" w:rsidRDefault="00546C13" w:rsidP="00C1602C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2.3. Установлено, что ц</w:t>
      </w:r>
      <w:r w:rsidRPr="00DF7E2C">
        <w:rPr>
          <w:sz w:val="25"/>
          <w:szCs w:val="25"/>
        </w:rPr>
        <w:t xml:space="preserve">ель </w:t>
      </w:r>
      <w:r>
        <w:rPr>
          <w:sz w:val="25"/>
          <w:szCs w:val="25"/>
        </w:rPr>
        <w:t>П</w:t>
      </w:r>
      <w:r w:rsidRPr="00DF7E2C">
        <w:rPr>
          <w:sz w:val="25"/>
          <w:szCs w:val="25"/>
        </w:rPr>
        <w:t>рограммы соответству</w:t>
      </w:r>
      <w:r>
        <w:rPr>
          <w:sz w:val="25"/>
          <w:szCs w:val="25"/>
        </w:rPr>
        <w:t>е</w:t>
      </w:r>
      <w:r w:rsidRPr="00DF7E2C">
        <w:rPr>
          <w:sz w:val="25"/>
          <w:szCs w:val="25"/>
        </w:rPr>
        <w:t>т</w:t>
      </w:r>
      <w:r>
        <w:rPr>
          <w:sz w:val="25"/>
          <w:szCs w:val="25"/>
        </w:rPr>
        <w:t>:</w:t>
      </w:r>
    </w:p>
    <w:p w:rsidR="00546C13" w:rsidRDefault="00546C13" w:rsidP="00C1602C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DF7E2C">
        <w:rPr>
          <w:sz w:val="25"/>
          <w:szCs w:val="25"/>
        </w:rPr>
        <w:t xml:space="preserve"> основным направлениям бюджетной и налоговой политики городского округа город Сургут на 201</w:t>
      </w:r>
      <w:r>
        <w:rPr>
          <w:sz w:val="25"/>
          <w:szCs w:val="25"/>
        </w:rPr>
        <w:t>4</w:t>
      </w:r>
      <w:r w:rsidRPr="00DF7E2C">
        <w:rPr>
          <w:sz w:val="25"/>
          <w:szCs w:val="25"/>
        </w:rPr>
        <w:t xml:space="preserve"> год и плановый период 201</w:t>
      </w:r>
      <w:r>
        <w:rPr>
          <w:sz w:val="25"/>
          <w:szCs w:val="25"/>
        </w:rPr>
        <w:t>5</w:t>
      </w:r>
      <w:r w:rsidRPr="00DF7E2C">
        <w:rPr>
          <w:sz w:val="25"/>
          <w:szCs w:val="25"/>
        </w:rPr>
        <w:t>-201</w:t>
      </w:r>
      <w:r>
        <w:rPr>
          <w:sz w:val="25"/>
          <w:szCs w:val="25"/>
        </w:rPr>
        <w:t>6</w:t>
      </w:r>
      <w:r w:rsidRPr="00DF7E2C">
        <w:rPr>
          <w:sz w:val="25"/>
          <w:szCs w:val="25"/>
        </w:rPr>
        <w:t xml:space="preserve"> годов, утвержденн</w:t>
      </w:r>
      <w:r>
        <w:rPr>
          <w:sz w:val="25"/>
          <w:szCs w:val="25"/>
        </w:rPr>
        <w:t>ых постановлением Администрации города от 11.10.2013 № 7364;</w:t>
      </w:r>
    </w:p>
    <w:p w:rsidR="00546C13" w:rsidRDefault="00546C13" w:rsidP="00C1602C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DF7E2C">
        <w:rPr>
          <w:sz w:val="25"/>
          <w:szCs w:val="25"/>
        </w:rPr>
        <w:t xml:space="preserve"> стратегии социально – экономического развития муниципального образования городской округ город Сургут период до 2020 года, утвержденного постановлением Главы города Сургута от 26.11.2009 № 85</w:t>
      </w:r>
      <w:r>
        <w:rPr>
          <w:sz w:val="25"/>
          <w:szCs w:val="25"/>
        </w:rPr>
        <w:t>;</w:t>
      </w:r>
    </w:p>
    <w:p w:rsidR="00546C13" w:rsidRDefault="00546C13" w:rsidP="00C1602C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DF7E2C">
        <w:rPr>
          <w:sz w:val="25"/>
          <w:szCs w:val="25"/>
        </w:rPr>
        <w:t xml:space="preserve"> прогнозу социально-экономического развития муниципального образования городской округ город Сургут на 2014 и плановый период 2015 – 2016 года, утвержденного постановлением Администрации города от 31.10.2013 № 7920.</w:t>
      </w:r>
    </w:p>
    <w:p w:rsidR="00546C13" w:rsidRPr="000F655B" w:rsidRDefault="00546C13" w:rsidP="000F655B">
      <w:pPr>
        <w:pStyle w:val="a3"/>
        <w:ind w:left="0" w:firstLine="720"/>
        <w:jc w:val="both"/>
        <w:rPr>
          <w:sz w:val="25"/>
          <w:szCs w:val="25"/>
        </w:rPr>
      </w:pPr>
      <w:r w:rsidRPr="000F655B">
        <w:rPr>
          <w:sz w:val="25"/>
          <w:szCs w:val="25"/>
        </w:rPr>
        <w:t xml:space="preserve">Данная программа не имеет подпрограмм, целью </w:t>
      </w:r>
      <w:r w:rsidR="008B42C2">
        <w:rPr>
          <w:sz w:val="25"/>
          <w:szCs w:val="25"/>
        </w:rPr>
        <w:t>П</w:t>
      </w:r>
      <w:r w:rsidRPr="000F655B">
        <w:rPr>
          <w:sz w:val="25"/>
          <w:szCs w:val="25"/>
        </w:rPr>
        <w:t>рограммы является реализация на территории муниципального образования городского округа город Сургут мероприятий в сфере профилактики правонарушений и создания основы для снижения уровня преступности посредством укрепления законности и правопорядка, повышения уровня безопасности граждан. Раздел</w:t>
      </w:r>
      <w:r w:rsidR="008B42C2">
        <w:rPr>
          <w:sz w:val="25"/>
          <w:szCs w:val="25"/>
        </w:rPr>
        <w:t xml:space="preserve"> </w:t>
      </w:r>
      <w:r w:rsidRPr="000F655B">
        <w:rPr>
          <w:sz w:val="25"/>
          <w:szCs w:val="25"/>
          <w:lang w:val="en-US"/>
        </w:rPr>
        <w:t>II</w:t>
      </w:r>
      <w:r w:rsidR="008B42C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Программы </w:t>
      </w:r>
      <w:r w:rsidRPr="000F655B">
        <w:rPr>
          <w:sz w:val="25"/>
          <w:szCs w:val="25"/>
        </w:rPr>
        <w:t xml:space="preserve">содержит перечень задач, направленных на достижение цели. Соответствие тактических задач цели </w:t>
      </w:r>
      <w:r w:rsidR="008B42C2">
        <w:rPr>
          <w:sz w:val="25"/>
          <w:szCs w:val="25"/>
        </w:rPr>
        <w:t>П</w:t>
      </w:r>
      <w:r w:rsidRPr="000F655B">
        <w:rPr>
          <w:sz w:val="25"/>
          <w:szCs w:val="25"/>
        </w:rPr>
        <w:t xml:space="preserve">рограммы обосновано. </w:t>
      </w:r>
    </w:p>
    <w:p w:rsidR="00546C13" w:rsidRDefault="00546C13" w:rsidP="000F655B">
      <w:pPr>
        <w:ind w:left="-142" w:firstLine="709"/>
        <w:jc w:val="both"/>
        <w:rPr>
          <w:sz w:val="25"/>
          <w:szCs w:val="25"/>
        </w:rPr>
      </w:pPr>
      <w:r w:rsidRPr="000F655B">
        <w:rPr>
          <w:sz w:val="25"/>
          <w:szCs w:val="25"/>
        </w:rPr>
        <w:t xml:space="preserve">Следует отметить, что задачи, определенные в разделе </w:t>
      </w:r>
      <w:r w:rsidRPr="000F655B">
        <w:rPr>
          <w:sz w:val="25"/>
          <w:szCs w:val="25"/>
          <w:lang w:val="en-US"/>
        </w:rPr>
        <w:t>II</w:t>
      </w:r>
      <w:r w:rsidRPr="000F655B">
        <w:rPr>
          <w:sz w:val="25"/>
          <w:szCs w:val="25"/>
        </w:rPr>
        <w:t xml:space="preserve"> Программы не соответствуют задачам, определенным </w:t>
      </w:r>
      <w:r>
        <w:rPr>
          <w:sz w:val="25"/>
          <w:szCs w:val="25"/>
        </w:rPr>
        <w:t>П</w:t>
      </w:r>
      <w:r w:rsidRPr="000F655B">
        <w:rPr>
          <w:sz w:val="25"/>
          <w:szCs w:val="25"/>
        </w:rPr>
        <w:t>аспортом Программы</w:t>
      </w:r>
      <w:r>
        <w:rPr>
          <w:sz w:val="25"/>
          <w:szCs w:val="25"/>
        </w:rPr>
        <w:t xml:space="preserve"> (Таблица 1)</w:t>
      </w:r>
      <w:r w:rsidRPr="000F655B">
        <w:rPr>
          <w:sz w:val="25"/>
          <w:szCs w:val="25"/>
        </w:rPr>
        <w:t>:</w:t>
      </w:r>
    </w:p>
    <w:p w:rsidR="00AB680F" w:rsidRDefault="00AB680F" w:rsidP="000F655B">
      <w:pPr>
        <w:ind w:left="-142" w:firstLine="709"/>
        <w:jc w:val="both"/>
        <w:rPr>
          <w:sz w:val="25"/>
          <w:szCs w:val="25"/>
        </w:rPr>
      </w:pPr>
    </w:p>
    <w:p w:rsidR="00AB680F" w:rsidRDefault="00AB680F" w:rsidP="000F655B">
      <w:pPr>
        <w:ind w:left="-142" w:firstLine="709"/>
        <w:jc w:val="both"/>
        <w:rPr>
          <w:sz w:val="25"/>
          <w:szCs w:val="25"/>
        </w:rPr>
      </w:pPr>
    </w:p>
    <w:p w:rsidR="00AB680F" w:rsidRDefault="00AB680F" w:rsidP="000F655B">
      <w:pPr>
        <w:ind w:left="-142" w:firstLine="709"/>
        <w:jc w:val="both"/>
        <w:rPr>
          <w:sz w:val="25"/>
          <w:szCs w:val="25"/>
        </w:rPr>
      </w:pPr>
    </w:p>
    <w:p w:rsidR="003420EE" w:rsidRDefault="003420EE" w:rsidP="000F655B">
      <w:pPr>
        <w:ind w:left="-142" w:firstLine="709"/>
        <w:jc w:val="both"/>
        <w:rPr>
          <w:sz w:val="25"/>
          <w:szCs w:val="25"/>
        </w:rPr>
      </w:pPr>
    </w:p>
    <w:p w:rsidR="003420EE" w:rsidRDefault="003420EE" w:rsidP="000F655B">
      <w:pPr>
        <w:ind w:left="-142" w:firstLine="709"/>
        <w:jc w:val="both"/>
        <w:rPr>
          <w:sz w:val="25"/>
          <w:szCs w:val="25"/>
        </w:rPr>
      </w:pPr>
    </w:p>
    <w:p w:rsidR="00546C13" w:rsidRPr="00E33F6C" w:rsidRDefault="00546C13" w:rsidP="00E33F6C">
      <w:pPr>
        <w:ind w:left="7657" w:firstLine="851"/>
        <w:jc w:val="both"/>
        <w:rPr>
          <w:sz w:val="22"/>
          <w:szCs w:val="22"/>
        </w:rPr>
      </w:pPr>
      <w:r w:rsidRPr="00E33F6C">
        <w:rPr>
          <w:sz w:val="22"/>
          <w:szCs w:val="22"/>
        </w:rPr>
        <w:lastRenderedPageBreak/>
        <w:t>Таблица 1</w:t>
      </w:r>
    </w:p>
    <w:p w:rsidR="00546C13" w:rsidRPr="00E33F6C" w:rsidRDefault="00546C13" w:rsidP="000F655B">
      <w:pPr>
        <w:ind w:left="-142" w:firstLine="709"/>
        <w:jc w:val="both"/>
        <w:rPr>
          <w:sz w:val="16"/>
          <w:szCs w:val="16"/>
        </w:rPr>
      </w:pPr>
    </w:p>
    <w:tbl>
      <w:tblPr>
        <w:tblW w:w="9628" w:type="dxa"/>
        <w:tblInd w:w="-106" w:type="dxa"/>
        <w:tblLook w:val="00A0" w:firstRow="1" w:lastRow="0" w:firstColumn="1" w:lastColumn="0" w:noHBand="0" w:noVBand="0"/>
      </w:tblPr>
      <w:tblGrid>
        <w:gridCol w:w="5743"/>
        <w:gridCol w:w="3885"/>
      </w:tblGrid>
      <w:tr w:rsidR="00546C13" w:rsidRPr="000F655B" w:rsidTr="00AB680F">
        <w:trPr>
          <w:trHeight w:val="600"/>
          <w:tblHeader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AB68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680F">
              <w:rPr>
                <w:b/>
                <w:bCs/>
                <w:color w:val="000000"/>
                <w:sz w:val="18"/>
                <w:szCs w:val="18"/>
              </w:rPr>
              <w:t>Задачи, определенные Паспортом Программы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AB68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680F">
              <w:rPr>
                <w:b/>
                <w:bCs/>
                <w:color w:val="000000"/>
                <w:sz w:val="18"/>
                <w:szCs w:val="18"/>
              </w:rPr>
              <w:t>Задачи, определенные в разделе II «Цели и задачи муниципальной программы»</w:t>
            </w:r>
          </w:p>
        </w:tc>
      </w:tr>
      <w:tr w:rsidR="00546C13" w:rsidRPr="000F655B" w:rsidTr="00AB680F">
        <w:trPr>
          <w:trHeight w:val="600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1. Снижение уровня преступности на территории города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1. Профилактика правонарушений в общественных местах и в сфере безопасности дорожного движения</w:t>
            </w:r>
          </w:p>
        </w:tc>
      </w:tr>
      <w:tr w:rsidR="00546C13" w:rsidRPr="000F655B" w:rsidTr="00AB680F">
        <w:trPr>
          <w:trHeight w:val="904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 xml:space="preserve">2. Обеспечение системы социальной профилактики правонарушений, направленной на активизацию борьбы с безнадзорностью и преступностью несовершеннолетних, </w:t>
            </w:r>
            <w:proofErr w:type="spellStart"/>
            <w:r w:rsidRPr="00AB680F">
              <w:rPr>
                <w:color w:val="000000"/>
                <w:sz w:val="18"/>
                <w:szCs w:val="18"/>
              </w:rPr>
              <w:t>ресоциализацией</w:t>
            </w:r>
            <w:proofErr w:type="spellEnd"/>
            <w:r w:rsidRPr="00AB680F">
              <w:rPr>
                <w:color w:val="000000"/>
                <w:sz w:val="18"/>
                <w:szCs w:val="18"/>
              </w:rPr>
              <w:t xml:space="preserve"> лиц, освободившихся из мест лишения свободы.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2. Повышение правосознания граждан, совершенствование информационного методического обеспечения профилактики правонарушений</w:t>
            </w:r>
          </w:p>
        </w:tc>
      </w:tr>
      <w:tr w:rsidR="00546C13" w:rsidRPr="000F655B" w:rsidTr="00530A4B">
        <w:trPr>
          <w:trHeight w:val="399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3. Повышение уровня личной безопасности граждан и уровня защищенности личной собственности граждан.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46C13" w:rsidRPr="000F655B" w:rsidTr="00AB680F">
        <w:trPr>
          <w:trHeight w:val="559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4. Привлечение общественности к осуществлению мероприятий по профилактике правонарушений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46C13" w:rsidRPr="000F655B" w:rsidTr="00AB680F">
        <w:trPr>
          <w:trHeight w:val="694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5. Укрепление правопорядка в общественных местах и на улицах, обеспечение безопасности дорожного движения путем использования современных технических средств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46C13" w:rsidRPr="000F655B" w:rsidTr="00AB680F">
        <w:trPr>
          <w:trHeight w:val="280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6. Обеспечение безопасности дорожного движения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46C13" w:rsidRPr="000F655B" w:rsidTr="00AB680F">
        <w:trPr>
          <w:trHeight w:val="411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  <w:r w:rsidRPr="00AB680F">
              <w:rPr>
                <w:color w:val="000000"/>
                <w:sz w:val="18"/>
                <w:szCs w:val="18"/>
              </w:rPr>
              <w:t>7. Совершенствование системы мер по профилактике терроризма и экстремизма, и (или) минимизации его последствий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AB680F" w:rsidRDefault="00546C13" w:rsidP="00530A4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46C13" w:rsidRPr="008E7278" w:rsidRDefault="00546C13" w:rsidP="000F655B">
      <w:pPr>
        <w:ind w:left="-142" w:firstLine="709"/>
        <w:jc w:val="both"/>
        <w:rPr>
          <w:rFonts w:ascii="Arial" w:hAnsi="Arial" w:cs="Arial"/>
          <w:sz w:val="16"/>
          <w:szCs w:val="16"/>
        </w:rPr>
      </w:pPr>
    </w:p>
    <w:p w:rsidR="00546C13" w:rsidRDefault="00546C13" w:rsidP="000F655B">
      <w:pPr>
        <w:ind w:left="-142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</w:t>
      </w:r>
      <w:r w:rsidRPr="00695D9C">
        <w:rPr>
          <w:sz w:val="25"/>
          <w:szCs w:val="25"/>
        </w:rPr>
        <w:t>п. 5.4 (с учетом изменений) Порядка «…информация, отражаемая в разделах муниципальной программы, должна соответствовать паспорту муниципальной программы</w:t>
      </w:r>
      <w:r>
        <w:rPr>
          <w:sz w:val="25"/>
          <w:szCs w:val="25"/>
        </w:rPr>
        <w:t>»</w:t>
      </w:r>
      <w:r w:rsidR="00691136">
        <w:rPr>
          <w:sz w:val="25"/>
          <w:szCs w:val="25"/>
        </w:rPr>
        <w:t>.</w:t>
      </w:r>
    </w:p>
    <w:p w:rsidR="00546C13" w:rsidRPr="00695D9C" w:rsidRDefault="00546C13" w:rsidP="000F655B">
      <w:pPr>
        <w:ind w:left="-142"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 xml:space="preserve">Администратору следует внести соответствующие изменения в Паспорт и раздел </w:t>
      </w:r>
      <w:r w:rsidRPr="000F655B">
        <w:rPr>
          <w:sz w:val="25"/>
          <w:szCs w:val="25"/>
          <w:lang w:val="en-US"/>
        </w:rPr>
        <w:t>II</w:t>
      </w:r>
      <w:r>
        <w:rPr>
          <w:sz w:val="25"/>
          <w:szCs w:val="25"/>
        </w:rPr>
        <w:t xml:space="preserve"> Программы.</w:t>
      </w:r>
    </w:p>
    <w:p w:rsidR="00546C13" w:rsidRPr="00DF7E2C" w:rsidRDefault="00546C13" w:rsidP="007A7ECB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2.</w:t>
      </w:r>
      <w:r>
        <w:rPr>
          <w:sz w:val="25"/>
          <w:szCs w:val="25"/>
        </w:rPr>
        <w:t>4</w:t>
      </w:r>
      <w:r w:rsidRPr="00DF7E2C">
        <w:rPr>
          <w:sz w:val="25"/>
          <w:szCs w:val="25"/>
        </w:rPr>
        <w:t>.</w:t>
      </w:r>
      <w:r w:rsidR="008B42C2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 xml:space="preserve">В разделе 3 </w:t>
      </w:r>
      <w:r>
        <w:rPr>
          <w:sz w:val="25"/>
          <w:szCs w:val="25"/>
        </w:rPr>
        <w:t>П</w:t>
      </w:r>
      <w:r w:rsidRPr="00DF7E2C">
        <w:rPr>
          <w:sz w:val="25"/>
          <w:szCs w:val="25"/>
        </w:rPr>
        <w:t>рограммы отражены непосредственные результаты реализации программы с указанием объемов ассигнований на проведение конкретного мероприятия.</w:t>
      </w:r>
    </w:p>
    <w:p w:rsidR="00546C13" w:rsidRPr="00DF7E2C" w:rsidRDefault="00546C13" w:rsidP="00C36B02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При </w:t>
      </w:r>
      <w:r>
        <w:rPr>
          <w:sz w:val="25"/>
          <w:szCs w:val="25"/>
        </w:rPr>
        <w:t>экспертизе</w:t>
      </w:r>
      <w:r w:rsidRPr="00DF7E2C">
        <w:rPr>
          <w:sz w:val="25"/>
          <w:szCs w:val="25"/>
        </w:rPr>
        <w:t xml:space="preserve"> ресурсной обеспеченности муниципальной программы и обоснованности плановых бюджетных расходов установлено следующее.</w:t>
      </w:r>
    </w:p>
    <w:p w:rsidR="00546C13" w:rsidRDefault="00546C13" w:rsidP="00C36B02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На реализацию мероприятий муниципальной программы предусматриваются бюджетные ассигнования,</w:t>
      </w:r>
      <w:r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 xml:space="preserve">представленные в </w:t>
      </w:r>
      <w:r>
        <w:rPr>
          <w:sz w:val="25"/>
          <w:szCs w:val="25"/>
        </w:rPr>
        <w:t>Т</w:t>
      </w:r>
      <w:r w:rsidRPr="00DF7E2C">
        <w:rPr>
          <w:sz w:val="25"/>
          <w:szCs w:val="25"/>
        </w:rPr>
        <w:t xml:space="preserve">аблице </w:t>
      </w:r>
      <w:r>
        <w:rPr>
          <w:sz w:val="25"/>
          <w:szCs w:val="25"/>
        </w:rPr>
        <w:t>2</w:t>
      </w:r>
      <w:r w:rsidRPr="00DF7E2C">
        <w:rPr>
          <w:sz w:val="25"/>
          <w:szCs w:val="25"/>
        </w:rPr>
        <w:t>.</w:t>
      </w:r>
    </w:p>
    <w:p w:rsidR="00546C13" w:rsidRPr="00CC3BAF" w:rsidRDefault="00546C13" w:rsidP="00CC3BAF">
      <w:pPr>
        <w:pStyle w:val="a3"/>
        <w:ind w:left="6381" w:firstLine="709"/>
        <w:jc w:val="both"/>
      </w:pPr>
      <w:r>
        <w:t xml:space="preserve">                      Таблица 2</w:t>
      </w:r>
    </w:p>
    <w:p w:rsidR="00546C13" w:rsidRPr="00CC3BAF" w:rsidRDefault="00546C13" w:rsidP="00C36B02">
      <w:pPr>
        <w:pStyle w:val="a3"/>
        <w:ind w:left="0" w:firstLine="709"/>
        <w:jc w:val="both"/>
        <w:rPr>
          <w:sz w:val="16"/>
          <w:szCs w:val="16"/>
        </w:rPr>
      </w:pPr>
    </w:p>
    <w:tbl>
      <w:tblPr>
        <w:tblW w:w="9644" w:type="dxa"/>
        <w:tblInd w:w="-106" w:type="dxa"/>
        <w:tblLook w:val="00A0" w:firstRow="1" w:lastRow="0" w:firstColumn="1" w:lastColumn="0" w:noHBand="0" w:noVBand="0"/>
      </w:tblPr>
      <w:tblGrid>
        <w:gridCol w:w="3878"/>
        <w:gridCol w:w="2223"/>
        <w:gridCol w:w="1842"/>
        <w:gridCol w:w="1701"/>
      </w:tblGrid>
      <w:tr w:rsidR="00546C13" w:rsidRPr="00530A4B">
        <w:trPr>
          <w:trHeight w:val="300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530A4B" w:rsidRDefault="00546C13" w:rsidP="00B46D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 xml:space="preserve">Срок реализации программы/ </w:t>
            </w:r>
            <w:proofErr w:type="spellStart"/>
            <w:r w:rsidRPr="00530A4B">
              <w:rPr>
                <w:b/>
                <w:color w:val="000000"/>
                <w:sz w:val="18"/>
                <w:szCs w:val="18"/>
              </w:rPr>
              <w:t>Соадминистратор</w:t>
            </w:r>
            <w:proofErr w:type="spellEnd"/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C13" w:rsidRPr="00530A4B" w:rsidRDefault="00546C13" w:rsidP="00B46D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 xml:space="preserve"> Объем бюджетных ассигнований, тыс. руб.</w:t>
            </w:r>
          </w:p>
        </w:tc>
      </w:tr>
      <w:tr w:rsidR="00546C13" w:rsidRPr="00530A4B">
        <w:trPr>
          <w:trHeight w:val="651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530A4B" w:rsidRDefault="00546C13" w:rsidP="00B46DD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530A4B" w:rsidRDefault="00546C13" w:rsidP="00B46D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530A4B" w:rsidRDefault="00546C13" w:rsidP="00B46D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>За счет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C13" w:rsidRPr="00530A4B" w:rsidRDefault="00546C13" w:rsidP="00B46D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C13" w:rsidRPr="00530A4B" w:rsidRDefault="00546C13" w:rsidP="00B46D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0A4B">
              <w:rPr>
                <w:b/>
                <w:bCs/>
                <w:color w:val="000000"/>
                <w:sz w:val="18"/>
                <w:szCs w:val="18"/>
              </w:rPr>
              <w:t>Итого на 2014 год, в том числе: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15 300,4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27 384,9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42 685,3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 xml:space="preserve">1. </w:t>
            </w:r>
            <w:r w:rsidRPr="00530A4B">
              <w:rPr>
                <w:color w:val="000000"/>
                <w:sz w:val="18"/>
                <w:szCs w:val="18"/>
              </w:rPr>
              <w:t>Отдел по организации работы административной комиссии Администрации города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2 181,5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12 471,3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>2.</w:t>
            </w:r>
            <w:r w:rsidRPr="00530A4B">
              <w:rPr>
                <w:color w:val="000000"/>
                <w:sz w:val="18"/>
                <w:szCs w:val="18"/>
              </w:rPr>
              <w:t>Отдел по организации работы комиссии по делам несовершеннолетних и их защите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16 815,1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16 815,1</w:t>
            </w:r>
          </w:p>
        </w:tc>
      </w:tr>
      <w:tr w:rsidR="00546C13" w:rsidRPr="00530A4B" w:rsidTr="00530A4B">
        <w:trPr>
          <w:trHeight w:val="199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3. МКУ «Наше время»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3 280,0</w:t>
            </w:r>
          </w:p>
        </w:tc>
      </w:tr>
      <w:tr w:rsidR="00546C13" w:rsidRPr="00530A4B" w:rsidTr="00530A4B">
        <w:trPr>
          <w:trHeight w:val="26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4. МКУ «ЕДДС»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10 118,9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10 118,9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b/>
                <w:bCs/>
                <w:color w:val="000000"/>
                <w:sz w:val="18"/>
                <w:szCs w:val="18"/>
              </w:rPr>
              <w:t>Итого на 2015 год, в том числе: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16 400,4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27 263,7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43 664,1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 xml:space="preserve">1. </w:t>
            </w:r>
            <w:r w:rsidRPr="00530A4B">
              <w:rPr>
                <w:color w:val="000000"/>
                <w:sz w:val="18"/>
                <w:szCs w:val="18"/>
              </w:rPr>
              <w:t>Отдел по организации работы административной комиссии Администрации города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2 181,5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12 471,3</w:t>
            </w:r>
          </w:p>
        </w:tc>
      </w:tr>
      <w:tr w:rsidR="00546C13" w:rsidRPr="00530A4B" w:rsidTr="00012548">
        <w:trPr>
          <w:trHeight w:val="483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>2.</w:t>
            </w:r>
            <w:r w:rsidRPr="00530A4B">
              <w:rPr>
                <w:color w:val="000000"/>
                <w:sz w:val="18"/>
                <w:szCs w:val="18"/>
              </w:rPr>
              <w:t>Отдел по организации работы комиссии по делам несовершеннолетних и их защите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16 815,1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16 815,1</w:t>
            </w:r>
          </w:p>
        </w:tc>
      </w:tr>
      <w:tr w:rsidR="00546C13" w:rsidRPr="00530A4B" w:rsidTr="00012548">
        <w:trPr>
          <w:trHeight w:val="256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3. МКУ «Наше время»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4 100,0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4 258,8</w:t>
            </w:r>
          </w:p>
        </w:tc>
      </w:tr>
      <w:tr w:rsidR="00546C13" w:rsidRPr="00530A4B" w:rsidTr="00012548">
        <w:trPr>
          <w:trHeight w:val="451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4. МКУ «ЕДДС»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10 118,9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10 118,9</w:t>
            </w:r>
          </w:p>
        </w:tc>
      </w:tr>
      <w:tr w:rsidR="00530A4B" w:rsidRPr="00530A4B" w:rsidTr="00581251">
        <w:trPr>
          <w:trHeight w:val="300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B" w:rsidRPr="00530A4B" w:rsidRDefault="00530A4B" w:rsidP="005812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lastRenderedPageBreak/>
              <w:t xml:space="preserve">Срок реализации программы/ </w:t>
            </w:r>
            <w:proofErr w:type="spellStart"/>
            <w:r w:rsidRPr="00530A4B">
              <w:rPr>
                <w:b/>
                <w:color w:val="000000"/>
                <w:sz w:val="18"/>
                <w:szCs w:val="18"/>
              </w:rPr>
              <w:t>Соадминистратор</w:t>
            </w:r>
            <w:proofErr w:type="spellEnd"/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A4B" w:rsidRPr="00530A4B" w:rsidRDefault="00530A4B" w:rsidP="005812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 xml:space="preserve"> Объем бюджетных ассигнований, тыс. руб.</w:t>
            </w:r>
          </w:p>
        </w:tc>
      </w:tr>
      <w:tr w:rsidR="00530A4B" w:rsidRPr="00530A4B" w:rsidTr="00581251">
        <w:trPr>
          <w:trHeight w:val="651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B" w:rsidRPr="00530A4B" w:rsidRDefault="00530A4B" w:rsidP="0058125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4B" w:rsidRPr="00530A4B" w:rsidRDefault="00530A4B" w:rsidP="005812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4B" w:rsidRPr="00530A4B" w:rsidRDefault="00530A4B" w:rsidP="005812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>За счет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4B" w:rsidRPr="00530A4B" w:rsidRDefault="00530A4B" w:rsidP="005812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A4B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b/>
                <w:bCs/>
                <w:color w:val="000000"/>
                <w:sz w:val="18"/>
                <w:szCs w:val="18"/>
              </w:rPr>
              <w:t>Итого на 2016 год, в том числе: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16 639,0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27 148,3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43 787,3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 xml:space="preserve">1. </w:t>
            </w:r>
            <w:r w:rsidRPr="00530A4B">
              <w:rPr>
                <w:color w:val="000000"/>
                <w:sz w:val="18"/>
                <w:szCs w:val="18"/>
              </w:rPr>
              <w:t>Отдел по организации работы административной комиссии Администрации города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2 181,5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12 471,3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>2.</w:t>
            </w:r>
            <w:r w:rsidRPr="00530A4B">
              <w:rPr>
                <w:color w:val="000000"/>
                <w:sz w:val="18"/>
                <w:szCs w:val="18"/>
              </w:rPr>
              <w:t>Отдела по организации работы комиссии по делам несовершеннолетних и их защите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16 815,1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16 815,1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3. МКУ «Наше время»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4 338,6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4 382,0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4. МКУ «ЕДДС»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10 118,9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10 118,9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0A4B">
              <w:rPr>
                <w:b/>
                <w:bCs/>
                <w:color w:val="000000"/>
                <w:sz w:val="18"/>
                <w:szCs w:val="18"/>
              </w:rPr>
              <w:t>Всего за три года реализации программы, в том числе: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0A4B">
              <w:rPr>
                <w:b/>
                <w:bCs/>
                <w:color w:val="000000"/>
                <w:sz w:val="18"/>
                <w:szCs w:val="18"/>
              </w:rPr>
              <w:t>48 339,8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0A4B">
              <w:rPr>
                <w:b/>
                <w:bCs/>
                <w:color w:val="000000"/>
                <w:sz w:val="18"/>
                <w:szCs w:val="18"/>
              </w:rPr>
              <w:t>81 796,9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0A4B">
              <w:rPr>
                <w:b/>
                <w:bCs/>
                <w:color w:val="000000"/>
                <w:sz w:val="18"/>
                <w:szCs w:val="18"/>
              </w:rPr>
              <w:t>130 136,7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 xml:space="preserve">1. </w:t>
            </w:r>
            <w:r w:rsidRPr="00530A4B">
              <w:rPr>
                <w:color w:val="000000"/>
                <w:sz w:val="18"/>
                <w:szCs w:val="18"/>
              </w:rPr>
              <w:t>Отдел по организации работы административной комиссии Администрации города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6 544,5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30 869,4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37 413,9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sz w:val="18"/>
                <w:szCs w:val="18"/>
              </w:rPr>
              <w:t>2.</w:t>
            </w:r>
            <w:r w:rsidRPr="00530A4B">
              <w:rPr>
                <w:color w:val="000000"/>
                <w:sz w:val="18"/>
                <w:szCs w:val="18"/>
              </w:rPr>
              <w:t>Отдел по организации работы комиссии по делам несовершеннолетних и их защите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50 445,3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50 445,3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3. МКУ «Наше время»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11 438,6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11 920,8</w:t>
            </w:r>
          </w:p>
        </w:tc>
      </w:tr>
      <w:tr w:rsidR="00546C13" w:rsidRPr="00530A4B" w:rsidTr="00530A4B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4. МКУ «ЕДДС»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30 356,7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C13" w:rsidRPr="00530A4B" w:rsidRDefault="00546C13" w:rsidP="00530A4B">
            <w:pPr>
              <w:jc w:val="center"/>
              <w:rPr>
                <w:color w:val="000000"/>
                <w:sz w:val="18"/>
                <w:szCs w:val="18"/>
              </w:rPr>
            </w:pPr>
            <w:r w:rsidRPr="00530A4B">
              <w:rPr>
                <w:color w:val="000000"/>
                <w:sz w:val="18"/>
                <w:szCs w:val="18"/>
              </w:rPr>
              <w:t>30 354,0</w:t>
            </w:r>
          </w:p>
        </w:tc>
      </w:tr>
    </w:tbl>
    <w:p w:rsidR="00546C13" w:rsidRDefault="00546C13" w:rsidP="00C36B02">
      <w:pPr>
        <w:pStyle w:val="a3"/>
        <w:ind w:left="0" w:firstLine="709"/>
        <w:jc w:val="both"/>
        <w:rPr>
          <w:sz w:val="16"/>
          <w:szCs w:val="16"/>
        </w:rPr>
      </w:pPr>
    </w:p>
    <w:p w:rsidR="00546C13" w:rsidRDefault="00546C13" w:rsidP="0067209E">
      <w:pPr>
        <w:pStyle w:val="ListParagraph1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Из данных таблицы, объемы финансирования мероприятий Программы соответствуют ассигнованиям, заложенным в проекте бюджета </w:t>
      </w:r>
      <w:r w:rsidRPr="0059496F">
        <w:rPr>
          <w:sz w:val="25"/>
          <w:szCs w:val="25"/>
        </w:rPr>
        <w:t>муниципального образования городской округ город Сургут на 2014 и плановый период 2015 – 2016 год</w:t>
      </w:r>
      <w:r>
        <w:rPr>
          <w:sz w:val="25"/>
          <w:szCs w:val="25"/>
        </w:rPr>
        <w:t>ы.</w:t>
      </w:r>
    </w:p>
    <w:p w:rsidR="00546C13" w:rsidRPr="00DF7E2C" w:rsidRDefault="00546C13" w:rsidP="004F5840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При анализе </w:t>
      </w:r>
      <w:r>
        <w:rPr>
          <w:sz w:val="25"/>
          <w:szCs w:val="25"/>
        </w:rPr>
        <w:t xml:space="preserve">формирования </w:t>
      </w:r>
      <w:r w:rsidRPr="00DF7E2C">
        <w:rPr>
          <w:sz w:val="25"/>
          <w:szCs w:val="25"/>
        </w:rPr>
        <w:t xml:space="preserve">плановых расходов на содержание комиссий </w:t>
      </w:r>
      <w:r>
        <w:rPr>
          <w:sz w:val="25"/>
          <w:szCs w:val="25"/>
        </w:rPr>
        <w:t>определено</w:t>
      </w:r>
      <w:r w:rsidRPr="00DF7E2C">
        <w:rPr>
          <w:sz w:val="25"/>
          <w:szCs w:val="25"/>
        </w:rPr>
        <w:t>:</w:t>
      </w:r>
    </w:p>
    <w:p w:rsidR="00546C13" w:rsidRPr="00DF7E2C" w:rsidRDefault="00546C13" w:rsidP="004F5840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большинство расходных статей рассчитаны на основе нормативного, планового метода расчета, что соответствует требованиям п.5.11.3 раздела 5 Порядка и Методики планирования бюджетных ассигнований, утвержденных приказом департамента финансов Администрации города от 29.08.2013 № 155 (с изменениями от 07.10.2013 №182);</w:t>
      </w:r>
    </w:p>
    <w:p w:rsidR="00546C13" w:rsidRPr="00DF7E2C" w:rsidRDefault="00546C13" w:rsidP="004F5840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плановый объем расходов на оплату труда рассчитан исходя из нормативов формирования расходов на оплату труда муниципальных служащих, установленных постановлением Правительства ХМАО – Югры от 24.12.2007 № 333-п;</w:t>
      </w:r>
    </w:p>
    <w:p w:rsidR="00546C13" w:rsidRPr="00DF7E2C" w:rsidRDefault="00546C13" w:rsidP="004F5840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плановый объем командировочных, представительских расходов рассчитан исходя из соответствующих нормативов, утвержденных распоряжением Главы города от 02.10.2012 № 48 «Об утверждении нормативов, необходимых для осуществления отдельных мероприятий по материально – техническому и организационному обеспечению деятельности органов местного самоуправления города Сургута»</w:t>
      </w:r>
      <w:r>
        <w:rPr>
          <w:sz w:val="25"/>
          <w:szCs w:val="25"/>
        </w:rPr>
        <w:t>;</w:t>
      </w:r>
    </w:p>
    <w:p w:rsidR="00546C13" w:rsidRPr="00DF7E2C" w:rsidRDefault="00546C13" w:rsidP="004F5840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плановый объем расходов на участие в плановых и внеплановых семинарах рассчитан с учетом соответствующих нормативов, установленных распоряжением Главы города от 07.06.2010 № 21(с изменениями от 22.08.2011 № 37);</w:t>
      </w:r>
    </w:p>
    <w:p w:rsidR="00546C13" w:rsidRPr="00DF7E2C" w:rsidRDefault="00546C13" w:rsidP="004F5840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плановый объем расходов на компенсацию стоимости путевок рассчитан исходя из размеров компенсации, установленных решением Думы города от 07.10.2009            № 618-</w:t>
      </w:r>
      <w:r w:rsidRPr="00DF7E2C">
        <w:rPr>
          <w:sz w:val="25"/>
          <w:szCs w:val="25"/>
          <w:lang w:val="en-US"/>
        </w:rPr>
        <w:t>IV</w:t>
      </w:r>
      <w:r w:rsidRPr="00DF7E2C">
        <w:rPr>
          <w:sz w:val="25"/>
          <w:szCs w:val="25"/>
        </w:rPr>
        <w:t xml:space="preserve"> ДГ (с изменениями от 02.11.2012 № 253 – </w:t>
      </w:r>
      <w:r w:rsidRPr="00DF7E2C">
        <w:rPr>
          <w:sz w:val="25"/>
          <w:szCs w:val="25"/>
          <w:lang w:val="en-US"/>
        </w:rPr>
        <w:t>V</w:t>
      </w:r>
      <w:r w:rsidRPr="00DF7E2C">
        <w:rPr>
          <w:sz w:val="25"/>
          <w:szCs w:val="25"/>
        </w:rPr>
        <w:t xml:space="preserve"> ДГ).</w:t>
      </w:r>
    </w:p>
    <w:p w:rsidR="00546C13" w:rsidRPr="00DF7E2C" w:rsidRDefault="00546C13" w:rsidP="00C146F6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Р</w:t>
      </w:r>
      <w:r w:rsidRPr="00DF7E2C">
        <w:rPr>
          <w:sz w:val="25"/>
          <w:szCs w:val="25"/>
        </w:rPr>
        <w:t>асходы по техническому обслуживанию и текущему ремонту АПК «Безопасный город</w:t>
      </w:r>
      <w:r>
        <w:rPr>
          <w:sz w:val="25"/>
          <w:szCs w:val="25"/>
        </w:rPr>
        <w:t xml:space="preserve">» </w:t>
      </w:r>
      <w:r w:rsidRPr="00DF7E2C">
        <w:rPr>
          <w:sz w:val="25"/>
          <w:szCs w:val="25"/>
        </w:rPr>
        <w:t>МКУ «ЕДДС»,</w:t>
      </w:r>
      <w:r>
        <w:rPr>
          <w:sz w:val="25"/>
          <w:szCs w:val="25"/>
        </w:rPr>
        <w:t xml:space="preserve"> предусмотрены в Программе</w:t>
      </w:r>
      <w:r w:rsidR="000A222A" w:rsidRPr="000A222A">
        <w:rPr>
          <w:sz w:val="25"/>
          <w:szCs w:val="25"/>
        </w:rPr>
        <w:t xml:space="preserve"> </w:t>
      </w:r>
      <w:r w:rsidR="000A222A" w:rsidRPr="00DF7E2C">
        <w:rPr>
          <w:sz w:val="25"/>
          <w:szCs w:val="25"/>
        </w:rPr>
        <w:t xml:space="preserve">на </w:t>
      </w:r>
      <w:r w:rsidR="000A222A">
        <w:rPr>
          <w:sz w:val="25"/>
          <w:szCs w:val="25"/>
        </w:rPr>
        <w:t xml:space="preserve">период </w:t>
      </w:r>
      <w:r w:rsidR="000A222A" w:rsidRPr="00DF7E2C">
        <w:rPr>
          <w:sz w:val="25"/>
          <w:szCs w:val="25"/>
        </w:rPr>
        <w:t>2014 – 2016 годы</w:t>
      </w:r>
      <w:r>
        <w:rPr>
          <w:sz w:val="25"/>
          <w:szCs w:val="25"/>
        </w:rPr>
        <w:t xml:space="preserve"> за счет </w:t>
      </w:r>
      <w:r w:rsidRPr="00DF7E2C">
        <w:rPr>
          <w:sz w:val="25"/>
          <w:szCs w:val="25"/>
        </w:rPr>
        <w:t>средств местного бюджета</w:t>
      </w:r>
      <w:r w:rsidR="000A222A">
        <w:rPr>
          <w:sz w:val="25"/>
          <w:szCs w:val="25"/>
        </w:rPr>
        <w:t xml:space="preserve"> в размере </w:t>
      </w:r>
      <w:r w:rsidRPr="00DF7E2C">
        <w:rPr>
          <w:sz w:val="25"/>
          <w:szCs w:val="25"/>
        </w:rPr>
        <w:t>30 356,7 тыс. руб.</w:t>
      </w:r>
      <w:r w:rsidR="000A222A">
        <w:rPr>
          <w:sz w:val="25"/>
          <w:szCs w:val="25"/>
        </w:rPr>
        <w:t xml:space="preserve"> (см. Таблицу 2).</w:t>
      </w:r>
    </w:p>
    <w:p w:rsidR="00546C13" w:rsidRPr="00DF7E2C" w:rsidRDefault="00546C13" w:rsidP="0067209E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Согласно постановлени</w:t>
      </w:r>
      <w:r w:rsidR="000A222A">
        <w:rPr>
          <w:sz w:val="25"/>
          <w:szCs w:val="25"/>
        </w:rPr>
        <w:t>ю</w:t>
      </w:r>
      <w:r w:rsidRPr="00DF7E2C">
        <w:rPr>
          <w:sz w:val="25"/>
          <w:szCs w:val="25"/>
        </w:rPr>
        <w:t xml:space="preserve"> Правительства Ханты-Мансийского автономного округа от 09.10.2013 № 428-п объем </w:t>
      </w:r>
      <w:proofErr w:type="spellStart"/>
      <w:r w:rsidRPr="00DF7E2C">
        <w:rPr>
          <w:sz w:val="25"/>
          <w:szCs w:val="25"/>
        </w:rPr>
        <w:t>софинансирования</w:t>
      </w:r>
      <w:proofErr w:type="spellEnd"/>
      <w:r w:rsidRPr="00DF7E2C">
        <w:rPr>
          <w:sz w:val="25"/>
          <w:szCs w:val="25"/>
        </w:rPr>
        <w:t xml:space="preserve"> на обеспечение размещения системы видеонаблюдения по направлениям общественного порядка и безопасности </w:t>
      </w:r>
      <w:r w:rsidRPr="00DF7E2C">
        <w:rPr>
          <w:sz w:val="25"/>
          <w:szCs w:val="25"/>
        </w:rPr>
        <w:lastRenderedPageBreak/>
        <w:t xml:space="preserve">дорожного движения за счет средств бюджета автономного округа и бюджетов муниципальных образований, устанавливается в соотношении 80% и 20% соответственно. Отсутствие в проекте бюджета ассигнований на обеспечение доли муниципалитета по </w:t>
      </w:r>
      <w:proofErr w:type="spellStart"/>
      <w:r w:rsidRPr="00DF7E2C">
        <w:rPr>
          <w:sz w:val="25"/>
          <w:szCs w:val="25"/>
        </w:rPr>
        <w:t>софинансированию</w:t>
      </w:r>
      <w:proofErr w:type="spellEnd"/>
      <w:r w:rsidRPr="00DF7E2C">
        <w:rPr>
          <w:sz w:val="25"/>
          <w:szCs w:val="25"/>
        </w:rPr>
        <w:t xml:space="preserve"> соответствующих региональных программ может привести к невыполнению установленных Правительством ХМАО-Югры условий </w:t>
      </w:r>
      <w:proofErr w:type="spellStart"/>
      <w:r w:rsidRPr="00DF7E2C">
        <w:rPr>
          <w:sz w:val="25"/>
          <w:szCs w:val="25"/>
        </w:rPr>
        <w:t>софинансирования</w:t>
      </w:r>
      <w:proofErr w:type="spellEnd"/>
      <w:r w:rsidRPr="00DF7E2C">
        <w:rPr>
          <w:sz w:val="25"/>
          <w:szCs w:val="25"/>
        </w:rPr>
        <w:t xml:space="preserve">. Невыполнение указанных условий является основанием для отказа Правительством ХМАО-Югры в предоставлении межбюджетных трансфертов. Таким образом, необеспечение необходимой доли </w:t>
      </w:r>
      <w:proofErr w:type="spellStart"/>
      <w:r w:rsidRPr="00DF7E2C">
        <w:rPr>
          <w:sz w:val="25"/>
          <w:szCs w:val="25"/>
        </w:rPr>
        <w:t>софинансирования</w:t>
      </w:r>
      <w:proofErr w:type="spellEnd"/>
      <w:r w:rsidRPr="00DF7E2C">
        <w:rPr>
          <w:sz w:val="25"/>
          <w:szCs w:val="25"/>
        </w:rPr>
        <w:t xml:space="preserve"> в целом ставит под сомнение возможность реализации мероприятия 1.10</w:t>
      </w:r>
      <w:r w:rsidR="00F05637"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 xml:space="preserve">Программы. В целом это влияет на результаты, заданные </w:t>
      </w:r>
      <w:r>
        <w:rPr>
          <w:sz w:val="25"/>
          <w:szCs w:val="25"/>
        </w:rPr>
        <w:t>П</w:t>
      </w:r>
      <w:r w:rsidRPr="00DF7E2C">
        <w:rPr>
          <w:sz w:val="25"/>
          <w:szCs w:val="25"/>
        </w:rPr>
        <w:t xml:space="preserve">рограммой, которые не могут быть достигнуты объемом средств, установленным </w:t>
      </w:r>
      <w:r>
        <w:rPr>
          <w:sz w:val="25"/>
          <w:szCs w:val="25"/>
        </w:rPr>
        <w:t>П</w:t>
      </w:r>
      <w:r w:rsidRPr="00DF7E2C">
        <w:rPr>
          <w:sz w:val="25"/>
          <w:szCs w:val="25"/>
        </w:rPr>
        <w:t xml:space="preserve">рограммой на момент проведения экспертизы, без дополнительного финансирования из бюджетов вышестоящих уровней. Поскольку параметры финансирования, принимаемые в </w:t>
      </w:r>
      <w:r>
        <w:rPr>
          <w:sz w:val="25"/>
          <w:szCs w:val="25"/>
        </w:rPr>
        <w:t>П</w:t>
      </w:r>
      <w:r w:rsidRPr="00DF7E2C">
        <w:rPr>
          <w:sz w:val="25"/>
          <w:szCs w:val="25"/>
        </w:rPr>
        <w:t xml:space="preserve">рограмме, формируют проект бюджета, принятие предлагаемой редакции </w:t>
      </w:r>
      <w:r>
        <w:rPr>
          <w:sz w:val="25"/>
          <w:szCs w:val="25"/>
        </w:rPr>
        <w:t>П</w:t>
      </w:r>
      <w:r w:rsidRPr="00DF7E2C">
        <w:rPr>
          <w:sz w:val="25"/>
          <w:szCs w:val="25"/>
        </w:rPr>
        <w:t>рограммы (с показателями, определенными без жесткой увязки с установленным объемом бюджетных ассигнований) может привести к невозможности достижения заданных и наилучших результатов определенным в проекте бюджета объемом средств, а значит, к несоблюдению статьи 34 Бюджетного кодекса РФ.</w:t>
      </w:r>
    </w:p>
    <w:p w:rsidR="00546C13" w:rsidRPr="00DF7E2C" w:rsidRDefault="00546C13" w:rsidP="008A7120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Согласно постановлени</w:t>
      </w:r>
      <w:r w:rsidR="000A222A">
        <w:rPr>
          <w:sz w:val="25"/>
          <w:szCs w:val="25"/>
        </w:rPr>
        <w:t>ю</w:t>
      </w:r>
      <w:r w:rsidRPr="00DF7E2C">
        <w:rPr>
          <w:sz w:val="25"/>
          <w:szCs w:val="25"/>
        </w:rPr>
        <w:t xml:space="preserve"> Правительства Ханты-Мансийского автономного округа от 09.10.2013 № 428-п объем </w:t>
      </w:r>
      <w:proofErr w:type="spellStart"/>
      <w:r w:rsidRPr="00DF7E2C">
        <w:rPr>
          <w:sz w:val="25"/>
          <w:szCs w:val="25"/>
        </w:rPr>
        <w:t>софинансирования</w:t>
      </w:r>
      <w:proofErr w:type="spellEnd"/>
      <w:r w:rsidRPr="00DF7E2C">
        <w:rPr>
          <w:sz w:val="25"/>
          <w:szCs w:val="25"/>
        </w:rPr>
        <w:t xml:space="preserve"> на обеспечение материального стимулированию граждан, участвующих в охране общественного порядка за</w:t>
      </w:r>
      <w:r>
        <w:rPr>
          <w:sz w:val="25"/>
          <w:szCs w:val="25"/>
        </w:rPr>
        <w:t xml:space="preserve"> счет</w:t>
      </w:r>
      <w:r w:rsidRPr="00DF7E2C">
        <w:rPr>
          <w:sz w:val="25"/>
          <w:szCs w:val="25"/>
        </w:rPr>
        <w:t xml:space="preserve"> средств бюджета автономного округа и бюджетов муниципальных образований, устанавливается в соотношении 70% и 30% соответственно. В представленной </w:t>
      </w:r>
      <w:r>
        <w:rPr>
          <w:sz w:val="25"/>
          <w:szCs w:val="25"/>
        </w:rPr>
        <w:t xml:space="preserve">на </w:t>
      </w:r>
      <w:r w:rsidRPr="00DF7E2C">
        <w:rPr>
          <w:sz w:val="25"/>
          <w:szCs w:val="25"/>
        </w:rPr>
        <w:t>экспертиз</w:t>
      </w:r>
      <w:r>
        <w:rPr>
          <w:sz w:val="25"/>
          <w:szCs w:val="25"/>
        </w:rPr>
        <w:t>у Программе</w:t>
      </w:r>
      <w:r w:rsidRPr="00DF7E2C">
        <w:rPr>
          <w:sz w:val="25"/>
          <w:szCs w:val="25"/>
        </w:rPr>
        <w:t xml:space="preserve"> указанное соотношение соблюдено. Объем финансирования Мероприятия 1.1</w:t>
      </w:r>
      <w:r w:rsidR="00AB680F" w:rsidRPr="00AB680F">
        <w:rPr>
          <w:sz w:val="25"/>
          <w:szCs w:val="25"/>
        </w:rPr>
        <w:t xml:space="preserve"> </w:t>
      </w:r>
      <w:r w:rsidR="00AB680F" w:rsidRPr="00DF7E2C">
        <w:rPr>
          <w:sz w:val="25"/>
          <w:szCs w:val="25"/>
        </w:rPr>
        <w:t xml:space="preserve">на </w:t>
      </w:r>
      <w:r w:rsidR="00AB680F">
        <w:rPr>
          <w:sz w:val="25"/>
          <w:szCs w:val="25"/>
        </w:rPr>
        <w:t xml:space="preserve">период </w:t>
      </w:r>
      <w:r w:rsidR="00AB680F" w:rsidRPr="00DF7E2C">
        <w:rPr>
          <w:sz w:val="25"/>
          <w:szCs w:val="25"/>
        </w:rPr>
        <w:t>2014 – 2016 годы</w:t>
      </w:r>
      <w:r w:rsidRPr="00DF7E2C">
        <w:rPr>
          <w:sz w:val="25"/>
          <w:szCs w:val="25"/>
        </w:rPr>
        <w:t xml:space="preserve"> составил </w:t>
      </w:r>
      <w:r w:rsidRPr="00FF238C">
        <w:rPr>
          <w:sz w:val="25"/>
          <w:szCs w:val="25"/>
        </w:rPr>
        <w:t>688,8</w:t>
      </w:r>
      <w:r>
        <w:rPr>
          <w:sz w:val="25"/>
          <w:szCs w:val="25"/>
        </w:rPr>
        <w:t xml:space="preserve"> тыс. руб., в том числе </w:t>
      </w:r>
      <w:r w:rsidRPr="00DF7E2C">
        <w:rPr>
          <w:sz w:val="25"/>
          <w:szCs w:val="25"/>
        </w:rPr>
        <w:t>за счет средств:</w:t>
      </w:r>
    </w:p>
    <w:p w:rsidR="00546C13" w:rsidRPr="00DF7E2C" w:rsidRDefault="00546C13" w:rsidP="009772B0">
      <w:pPr>
        <w:ind w:firstLine="709"/>
        <w:jc w:val="both"/>
        <w:rPr>
          <w:color w:val="000000"/>
          <w:sz w:val="25"/>
          <w:szCs w:val="25"/>
        </w:rPr>
      </w:pPr>
      <w:r w:rsidRPr="00DF7E2C">
        <w:rPr>
          <w:color w:val="000000"/>
          <w:sz w:val="25"/>
          <w:szCs w:val="25"/>
        </w:rPr>
        <w:t xml:space="preserve">- </w:t>
      </w:r>
      <w:r w:rsidRPr="00DF7E2C">
        <w:rPr>
          <w:sz w:val="25"/>
          <w:szCs w:val="25"/>
        </w:rPr>
        <w:t>местного бюджета</w:t>
      </w:r>
      <w:r w:rsidRPr="00DF7E2C">
        <w:rPr>
          <w:color w:val="000000"/>
          <w:sz w:val="25"/>
          <w:szCs w:val="25"/>
        </w:rPr>
        <w:t xml:space="preserve"> – 206,6 тыс. руб., что составляет 30%, от общей суммы финансирования;</w:t>
      </w:r>
    </w:p>
    <w:p w:rsidR="00546C13" w:rsidRDefault="00546C13" w:rsidP="009772B0">
      <w:pPr>
        <w:pStyle w:val="a3"/>
        <w:ind w:left="0" w:firstLine="709"/>
        <w:jc w:val="both"/>
        <w:rPr>
          <w:color w:val="000000"/>
          <w:sz w:val="25"/>
          <w:szCs w:val="25"/>
        </w:rPr>
      </w:pPr>
      <w:r w:rsidRPr="00DF7E2C">
        <w:rPr>
          <w:sz w:val="25"/>
          <w:szCs w:val="25"/>
        </w:rPr>
        <w:t xml:space="preserve">- межбюджетных трансфертов из окружного бюджета – </w:t>
      </w:r>
      <w:r w:rsidRPr="00FF238C">
        <w:rPr>
          <w:color w:val="000000"/>
          <w:sz w:val="25"/>
          <w:szCs w:val="25"/>
        </w:rPr>
        <w:t>482,2 тыс</w:t>
      </w:r>
      <w:r w:rsidRPr="00DF7E2C">
        <w:rPr>
          <w:sz w:val="25"/>
          <w:szCs w:val="25"/>
        </w:rPr>
        <w:t>. руб.,</w:t>
      </w:r>
      <w:r w:rsidRPr="00DF7E2C">
        <w:rPr>
          <w:color w:val="000000"/>
          <w:sz w:val="25"/>
          <w:szCs w:val="25"/>
        </w:rPr>
        <w:t xml:space="preserve"> что составляет </w:t>
      </w:r>
      <w:r w:rsidRPr="00DF7E2C">
        <w:rPr>
          <w:sz w:val="25"/>
          <w:szCs w:val="25"/>
        </w:rPr>
        <w:t>70% тыс. руб.</w:t>
      </w:r>
      <w:r w:rsidR="00691136">
        <w:rPr>
          <w:sz w:val="25"/>
          <w:szCs w:val="25"/>
        </w:rPr>
        <w:t xml:space="preserve"> </w:t>
      </w:r>
      <w:r w:rsidRPr="00DF7E2C">
        <w:rPr>
          <w:color w:val="000000"/>
          <w:sz w:val="25"/>
          <w:szCs w:val="25"/>
        </w:rPr>
        <w:t>от общей суммы финансирования</w:t>
      </w:r>
      <w:r w:rsidR="000A222A">
        <w:rPr>
          <w:color w:val="000000"/>
          <w:sz w:val="25"/>
          <w:szCs w:val="25"/>
        </w:rPr>
        <w:t xml:space="preserve"> </w:t>
      </w:r>
      <w:r w:rsidR="00AB680F">
        <w:rPr>
          <w:color w:val="000000"/>
          <w:sz w:val="25"/>
          <w:szCs w:val="25"/>
        </w:rPr>
        <w:t>(см. Таблицу 2)</w:t>
      </w:r>
      <w:r w:rsidR="000A222A">
        <w:rPr>
          <w:color w:val="000000"/>
          <w:sz w:val="25"/>
          <w:szCs w:val="25"/>
        </w:rPr>
        <w:t>.</w:t>
      </w:r>
    </w:p>
    <w:p w:rsidR="00546C13" w:rsidRDefault="00546C13" w:rsidP="00A85FB9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2.</w:t>
      </w:r>
      <w:r>
        <w:rPr>
          <w:sz w:val="25"/>
          <w:szCs w:val="25"/>
        </w:rPr>
        <w:t>5</w:t>
      </w:r>
      <w:r w:rsidRPr="00DF7E2C">
        <w:rPr>
          <w:sz w:val="25"/>
          <w:szCs w:val="25"/>
        </w:rPr>
        <w:t xml:space="preserve">. </w:t>
      </w:r>
      <w:r>
        <w:rPr>
          <w:sz w:val="25"/>
          <w:szCs w:val="25"/>
        </w:rPr>
        <w:t>В заключени</w:t>
      </w:r>
      <w:proofErr w:type="gramStart"/>
      <w:r>
        <w:rPr>
          <w:sz w:val="25"/>
          <w:szCs w:val="25"/>
        </w:rPr>
        <w:t>и</w:t>
      </w:r>
      <w:proofErr w:type="gramEnd"/>
      <w:r>
        <w:rPr>
          <w:sz w:val="25"/>
          <w:szCs w:val="25"/>
        </w:rPr>
        <w:t xml:space="preserve"> </w:t>
      </w:r>
      <w:r w:rsidRPr="00DF7E2C">
        <w:rPr>
          <w:sz w:val="25"/>
          <w:szCs w:val="25"/>
        </w:rPr>
        <w:t>Департамент</w:t>
      </w:r>
      <w:r>
        <w:rPr>
          <w:sz w:val="25"/>
          <w:szCs w:val="25"/>
        </w:rPr>
        <w:t>а</w:t>
      </w:r>
      <w:r w:rsidRPr="00DF7E2C">
        <w:rPr>
          <w:sz w:val="25"/>
          <w:szCs w:val="25"/>
        </w:rPr>
        <w:t xml:space="preserve"> по экономической политике Администрации города </w:t>
      </w:r>
      <w:r>
        <w:rPr>
          <w:sz w:val="25"/>
          <w:szCs w:val="25"/>
        </w:rPr>
        <w:t>отсутствует информация о соответствии Программы т</w:t>
      </w:r>
      <w:r w:rsidRPr="00DF7E2C">
        <w:rPr>
          <w:sz w:val="25"/>
          <w:szCs w:val="25"/>
        </w:rPr>
        <w:t>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отраженным в стратегии социально – экономического развития города.</w:t>
      </w:r>
    </w:p>
    <w:p w:rsidR="00546C13" w:rsidRPr="00DF7E2C" w:rsidRDefault="00546C13" w:rsidP="00AB680F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2.</w:t>
      </w:r>
      <w:r>
        <w:rPr>
          <w:sz w:val="25"/>
          <w:szCs w:val="25"/>
        </w:rPr>
        <w:t>6</w:t>
      </w:r>
      <w:r w:rsidRPr="00DF7E2C">
        <w:rPr>
          <w:sz w:val="25"/>
          <w:szCs w:val="25"/>
        </w:rPr>
        <w:t>. В связи с одновременным поступлением на экспертизу проектов муниципальных программ и проекта бюджета города более детальная экспертиза представленного финансово – экономического обоснования объемов финансирования, предусмотренных на реализацию Программы, проводится в рамках экспертизы проекта бюджета города на 2014 год и плановый период 2015 – 2016 годов.</w:t>
      </w:r>
    </w:p>
    <w:p w:rsidR="00546C13" w:rsidRPr="00DF7E2C" w:rsidRDefault="00546C13" w:rsidP="00AB680F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В связи с чем, результат</w:t>
      </w:r>
      <w:r w:rsidR="008B42C2">
        <w:rPr>
          <w:sz w:val="25"/>
          <w:szCs w:val="25"/>
        </w:rPr>
        <w:t>ы</w:t>
      </w:r>
      <w:r w:rsidRPr="00DF7E2C">
        <w:rPr>
          <w:sz w:val="25"/>
          <w:szCs w:val="25"/>
        </w:rPr>
        <w:t xml:space="preserve"> экспертизы проекта бюджета в части муниципальной программы могут отличаться от выводов, изложенных в настоящем заключении, в части финансово – экономического обоснования бюджетных ассигнований, по соответствующему главному распорядителю, распорядителю, получателю бюджетных средств.</w:t>
      </w:r>
    </w:p>
    <w:p w:rsidR="00546C13" w:rsidRPr="00DF7E2C" w:rsidRDefault="00546C13" w:rsidP="00E57C7D">
      <w:pPr>
        <w:tabs>
          <w:tab w:val="left" w:pos="720"/>
          <w:tab w:val="left" w:pos="1418"/>
        </w:tabs>
        <w:spacing w:before="120"/>
        <w:jc w:val="center"/>
        <w:rPr>
          <w:sz w:val="25"/>
          <w:szCs w:val="25"/>
        </w:rPr>
      </w:pPr>
      <w:r w:rsidRPr="00DF7E2C">
        <w:rPr>
          <w:sz w:val="25"/>
          <w:szCs w:val="25"/>
        </w:rPr>
        <w:t>3. Заключительные положения</w:t>
      </w:r>
    </w:p>
    <w:p w:rsidR="00546C13" w:rsidRPr="00921990" w:rsidRDefault="00546C13" w:rsidP="00A470C6">
      <w:pPr>
        <w:tabs>
          <w:tab w:val="left" w:pos="720"/>
          <w:tab w:val="left" w:pos="1418"/>
        </w:tabs>
        <w:jc w:val="center"/>
        <w:rPr>
          <w:sz w:val="16"/>
          <w:szCs w:val="16"/>
        </w:rPr>
      </w:pPr>
    </w:p>
    <w:p w:rsidR="00546C13" w:rsidRPr="00DF7E2C" w:rsidRDefault="00546C13" w:rsidP="00A470C6">
      <w:pPr>
        <w:tabs>
          <w:tab w:val="left" w:pos="720"/>
          <w:tab w:val="left" w:pos="1418"/>
        </w:tabs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На основании вышеизложенного, Контрольно-счётная палата города рекоменд</w:t>
      </w:r>
      <w:r>
        <w:rPr>
          <w:sz w:val="25"/>
          <w:szCs w:val="25"/>
        </w:rPr>
        <w:t>ует</w:t>
      </w:r>
      <w:r w:rsidRPr="00DF7E2C">
        <w:rPr>
          <w:sz w:val="25"/>
          <w:szCs w:val="25"/>
        </w:rPr>
        <w:t xml:space="preserve"> Администрации города:</w:t>
      </w:r>
    </w:p>
    <w:p w:rsidR="00546C13" w:rsidRPr="0059496F" w:rsidRDefault="00546C13" w:rsidP="009D1202">
      <w:pPr>
        <w:ind w:firstLine="708"/>
        <w:jc w:val="both"/>
        <w:rPr>
          <w:sz w:val="25"/>
          <w:szCs w:val="25"/>
        </w:rPr>
      </w:pPr>
      <w:r w:rsidRPr="0059496F">
        <w:rPr>
          <w:sz w:val="25"/>
          <w:szCs w:val="25"/>
        </w:rPr>
        <w:lastRenderedPageBreak/>
        <w:t>3.1.</w:t>
      </w:r>
      <w:r w:rsidR="00930DF6">
        <w:rPr>
          <w:sz w:val="25"/>
          <w:szCs w:val="25"/>
        </w:rPr>
        <w:t> </w:t>
      </w:r>
      <w:r w:rsidRPr="0059496F">
        <w:rPr>
          <w:sz w:val="25"/>
          <w:szCs w:val="25"/>
        </w:rPr>
        <w:t>Рассмотреть замечания, изложенные в пункт</w:t>
      </w:r>
      <w:r>
        <w:rPr>
          <w:sz w:val="25"/>
          <w:szCs w:val="25"/>
        </w:rPr>
        <w:t>е 2.2, 2.5 настоящего заключения</w:t>
      </w:r>
      <w:r w:rsidRPr="0059496F">
        <w:rPr>
          <w:sz w:val="25"/>
          <w:szCs w:val="25"/>
        </w:rPr>
        <w:t>.</w:t>
      </w:r>
    </w:p>
    <w:p w:rsidR="00546C13" w:rsidRDefault="00546C13" w:rsidP="009D1202">
      <w:pPr>
        <w:widowControl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3.2.</w:t>
      </w:r>
      <w:r w:rsidR="00930DF6">
        <w:rPr>
          <w:sz w:val="25"/>
          <w:szCs w:val="25"/>
        </w:rPr>
        <w:t> </w:t>
      </w:r>
      <w:r>
        <w:rPr>
          <w:sz w:val="25"/>
          <w:szCs w:val="25"/>
        </w:rPr>
        <w:t>Устранить замечания, изложенные в пунктах 2.1, 2.3</w:t>
      </w:r>
      <w:r w:rsidR="00AB680F">
        <w:rPr>
          <w:sz w:val="25"/>
          <w:szCs w:val="25"/>
        </w:rPr>
        <w:t xml:space="preserve"> </w:t>
      </w:r>
      <w:r>
        <w:rPr>
          <w:sz w:val="25"/>
          <w:szCs w:val="25"/>
        </w:rPr>
        <w:t>настоящего заключения.</w:t>
      </w:r>
    </w:p>
    <w:p w:rsidR="00546C13" w:rsidRPr="0059496F" w:rsidRDefault="00546C13" w:rsidP="009D1202">
      <w:pPr>
        <w:widowControl w:val="0"/>
        <w:ind w:firstLine="709"/>
        <w:jc w:val="both"/>
        <w:rPr>
          <w:sz w:val="25"/>
          <w:szCs w:val="25"/>
        </w:rPr>
      </w:pPr>
      <w:r w:rsidRPr="0059496F">
        <w:rPr>
          <w:sz w:val="25"/>
          <w:szCs w:val="25"/>
        </w:rPr>
        <w:t>3.</w:t>
      </w:r>
      <w:r w:rsidR="00930DF6">
        <w:rPr>
          <w:sz w:val="25"/>
          <w:szCs w:val="25"/>
        </w:rPr>
        <w:t>3</w:t>
      </w:r>
      <w:r w:rsidRPr="0059496F">
        <w:rPr>
          <w:sz w:val="25"/>
          <w:szCs w:val="25"/>
        </w:rPr>
        <w:t>. Информацию о ре</w:t>
      </w:r>
      <w:r>
        <w:rPr>
          <w:sz w:val="25"/>
          <w:szCs w:val="25"/>
        </w:rPr>
        <w:t>шениях,</w:t>
      </w:r>
      <w:r w:rsidR="00930DF6">
        <w:rPr>
          <w:sz w:val="25"/>
          <w:szCs w:val="25"/>
        </w:rPr>
        <w:t xml:space="preserve"> </w:t>
      </w:r>
      <w:r>
        <w:rPr>
          <w:sz w:val="25"/>
          <w:szCs w:val="25"/>
        </w:rPr>
        <w:t>принятых по результатам настоящей экспертизы,</w:t>
      </w:r>
      <w:r w:rsidRPr="0059496F">
        <w:rPr>
          <w:sz w:val="25"/>
          <w:szCs w:val="25"/>
        </w:rPr>
        <w:t xml:space="preserve"> направить в адрес Контрольно-счётной палаты не позднее </w:t>
      </w:r>
      <w:r>
        <w:rPr>
          <w:sz w:val="25"/>
          <w:szCs w:val="25"/>
        </w:rPr>
        <w:t>24.01.</w:t>
      </w:r>
      <w:r w:rsidRPr="0059496F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59496F">
        <w:rPr>
          <w:sz w:val="25"/>
          <w:szCs w:val="25"/>
        </w:rPr>
        <w:t>.</w:t>
      </w:r>
    </w:p>
    <w:p w:rsidR="00546C13" w:rsidRDefault="00546C13" w:rsidP="00E544D3">
      <w:pPr>
        <w:jc w:val="both"/>
        <w:rPr>
          <w:sz w:val="25"/>
          <w:szCs w:val="25"/>
        </w:rPr>
      </w:pPr>
    </w:p>
    <w:p w:rsidR="00546C13" w:rsidRDefault="00546C13" w:rsidP="00E544D3">
      <w:pPr>
        <w:jc w:val="both"/>
        <w:rPr>
          <w:sz w:val="25"/>
          <w:szCs w:val="25"/>
        </w:rPr>
      </w:pPr>
    </w:p>
    <w:p w:rsidR="00546C13" w:rsidRPr="00DF7E2C" w:rsidRDefault="00546C13" w:rsidP="00E544D3">
      <w:pPr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Инспектор отдела расходов на городское хозяйство        </w:t>
      </w:r>
      <w:r w:rsidRPr="00DF7E2C">
        <w:rPr>
          <w:sz w:val="25"/>
          <w:szCs w:val="25"/>
        </w:rPr>
        <w:tab/>
      </w:r>
      <w:r w:rsidRPr="00DF7E2C">
        <w:rPr>
          <w:sz w:val="25"/>
          <w:szCs w:val="25"/>
        </w:rPr>
        <w:tab/>
        <w:t xml:space="preserve">          О.Р. </w:t>
      </w:r>
      <w:proofErr w:type="spellStart"/>
      <w:r w:rsidRPr="00DF7E2C">
        <w:rPr>
          <w:sz w:val="25"/>
          <w:szCs w:val="25"/>
        </w:rPr>
        <w:t>Иваницына</w:t>
      </w:r>
      <w:proofErr w:type="spellEnd"/>
    </w:p>
    <w:sectPr w:rsidR="00546C13" w:rsidRPr="00DF7E2C" w:rsidSect="00EF65B6">
      <w:headerReference w:type="default" r:id="rId13"/>
      <w:pgSz w:w="11906" w:h="16838"/>
      <w:pgMar w:top="1134" w:right="56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13" w:rsidRDefault="00546C13" w:rsidP="00F63834">
      <w:pPr>
        <w:pStyle w:val="a3"/>
      </w:pPr>
      <w:r>
        <w:separator/>
      </w:r>
    </w:p>
  </w:endnote>
  <w:endnote w:type="continuationSeparator" w:id="0">
    <w:p w:rsidR="00546C13" w:rsidRDefault="00546C13" w:rsidP="00F6383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13" w:rsidRDefault="00546C13" w:rsidP="00F63834">
      <w:pPr>
        <w:pStyle w:val="a3"/>
      </w:pPr>
      <w:r>
        <w:separator/>
      </w:r>
    </w:p>
  </w:footnote>
  <w:footnote w:type="continuationSeparator" w:id="0">
    <w:p w:rsidR="00546C13" w:rsidRDefault="00546C13" w:rsidP="00F6383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13" w:rsidRDefault="00AE6C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71C">
      <w:rPr>
        <w:noProof/>
      </w:rPr>
      <w:t>7</w:t>
    </w:r>
    <w:r>
      <w:rPr>
        <w:noProof/>
      </w:rPr>
      <w:fldChar w:fldCharType="end"/>
    </w:r>
  </w:p>
  <w:p w:rsidR="00546C13" w:rsidRDefault="00546C13">
    <w:pPr>
      <w:pStyle w:val="a5"/>
    </w:pPr>
  </w:p>
  <w:p w:rsidR="00546C13" w:rsidRDefault="00546C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2C1F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216402"/>
    <w:multiLevelType w:val="hybridMultilevel"/>
    <w:tmpl w:val="B8400B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D06A47"/>
    <w:multiLevelType w:val="hybridMultilevel"/>
    <w:tmpl w:val="D5E2F692"/>
    <w:lvl w:ilvl="0" w:tplc="43EAF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67958B0"/>
    <w:multiLevelType w:val="multilevel"/>
    <w:tmpl w:val="6308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62923DF"/>
    <w:multiLevelType w:val="hybridMultilevel"/>
    <w:tmpl w:val="FC2E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97A30"/>
    <w:multiLevelType w:val="multilevel"/>
    <w:tmpl w:val="44109A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>
    <w:nsid w:val="69121F75"/>
    <w:multiLevelType w:val="hybridMultilevel"/>
    <w:tmpl w:val="4BF2E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309E748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0B939B8"/>
    <w:multiLevelType w:val="hybridMultilevel"/>
    <w:tmpl w:val="FB429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6B48CD"/>
    <w:multiLevelType w:val="hybridMultilevel"/>
    <w:tmpl w:val="B7D4BDD2"/>
    <w:lvl w:ilvl="0" w:tplc="EE6C22D6">
      <w:start w:val="2"/>
      <w:numFmt w:val="bullet"/>
      <w:lvlText w:val="-"/>
      <w:lvlJc w:val="left"/>
      <w:pPr>
        <w:ind w:left="1569" w:hanging="8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7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CBD"/>
    <w:rsid w:val="000026F7"/>
    <w:rsid w:val="00003EEC"/>
    <w:rsid w:val="00006456"/>
    <w:rsid w:val="00011641"/>
    <w:rsid w:val="00012548"/>
    <w:rsid w:val="00013CF9"/>
    <w:rsid w:val="000218E7"/>
    <w:rsid w:val="000238B8"/>
    <w:rsid w:val="00025033"/>
    <w:rsid w:val="00025483"/>
    <w:rsid w:val="00027A25"/>
    <w:rsid w:val="00035944"/>
    <w:rsid w:val="00055F4E"/>
    <w:rsid w:val="00062A74"/>
    <w:rsid w:val="00066503"/>
    <w:rsid w:val="000670CC"/>
    <w:rsid w:val="00067F5E"/>
    <w:rsid w:val="00067FE4"/>
    <w:rsid w:val="00070A6C"/>
    <w:rsid w:val="000804C3"/>
    <w:rsid w:val="00081675"/>
    <w:rsid w:val="00085ED4"/>
    <w:rsid w:val="0009068E"/>
    <w:rsid w:val="00096ACB"/>
    <w:rsid w:val="000A08DA"/>
    <w:rsid w:val="000A222A"/>
    <w:rsid w:val="000A367C"/>
    <w:rsid w:val="000A4000"/>
    <w:rsid w:val="000A5CC8"/>
    <w:rsid w:val="000A7BAC"/>
    <w:rsid w:val="000B20F3"/>
    <w:rsid w:val="000B49CF"/>
    <w:rsid w:val="000C3E83"/>
    <w:rsid w:val="000C48FD"/>
    <w:rsid w:val="000D19FA"/>
    <w:rsid w:val="000D50E9"/>
    <w:rsid w:val="000F296F"/>
    <w:rsid w:val="000F2D73"/>
    <w:rsid w:val="000F301B"/>
    <w:rsid w:val="000F3734"/>
    <w:rsid w:val="000F44A8"/>
    <w:rsid w:val="000F570E"/>
    <w:rsid w:val="000F5A87"/>
    <w:rsid w:val="000F655B"/>
    <w:rsid w:val="001066E3"/>
    <w:rsid w:val="00110C46"/>
    <w:rsid w:val="001110FC"/>
    <w:rsid w:val="00122EF5"/>
    <w:rsid w:val="00125471"/>
    <w:rsid w:val="001408DE"/>
    <w:rsid w:val="00141A70"/>
    <w:rsid w:val="0014444C"/>
    <w:rsid w:val="001454D7"/>
    <w:rsid w:val="00145561"/>
    <w:rsid w:val="00145BDE"/>
    <w:rsid w:val="00146135"/>
    <w:rsid w:val="00152F52"/>
    <w:rsid w:val="00154BAA"/>
    <w:rsid w:val="00161208"/>
    <w:rsid w:val="001708AD"/>
    <w:rsid w:val="001766B4"/>
    <w:rsid w:val="001769E5"/>
    <w:rsid w:val="00182640"/>
    <w:rsid w:val="00183633"/>
    <w:rsid w:val="00183B5B"/>
    <w:rsid w:val="00184D19"/>
    <w:rsid w:val="00190975"/>
    <w:rsid w:val="001A359E"/>
    <w:rsid w:val="001A564F"/>
    <w:rsid w:val="001B045E"/>
    <w:rsid w:val="001C06B2"/>
    <w:rsid w:val="001C39D7"/>
    <w:rsid w:val="001D42F9"/>
    <w:rsid w:val="001D60B0"/>
    <w:rsid w:val="001E0522"/>
    <w:rsid w:val="001E14EB"/>
    <w:rsid w:val="001E41D9"/>
    <w:rsid w:val="001E5A76"/>
    <w:rsid w:val="001F7DAF"/>
    <w:rsid w:val="002007C1"/>
    <w:rsid w:val="00202129"/>
    <w:rsid w:val="002022D4"/>
    <w:rsid w:val="00204D83"/>
    <w:rsid w:val="0021322D"/>
    <w:rsid w:val="002164AF"/>
    <w:rsid w:val="00217CAC"/>
    <w:rsid w:val="00220881"/>
    <w:rsid w:val="00221648"/>
    <w:rsid w:val="0023295A"/>
    <w:rsid w:val="00246DFB"/>
    <w:rsid w:val="00247A25"/>
    <w:rsid w:val="00250265"/>
    <w:rsid w:val="002513E5"/>
    <w:rsid w:val="00253C3F"/>
    <w:rsid w:val="002566E5"/>
    <w:rsid w:val="0027169E"/>
    <w:rsid w:val="00273AE9"/>
    <w:rsid w:val="00275BA1"/>
    <w:rsid w:val="0027732F"/>
    <w:rsid w:val="00283D10"/>
    <w:rsid w:val="00285115"/>
    <w:rsid w:val="0029783B"/>
    <w:rsid w:val="002B3118"/>
    <w:rsid w:val="002B420E"/>
    <w:rsid w:val="002B7828"/>
    <w:rsid w:val="002C1BA3"/>
    <w:rsid w:val="002C1E12"/>
    <w:rsid w:val="002C2988"/>
    <w:rsid w:val="002C473A"/>
    <w:rsid w:val="002D1142"/>
    <w:rsid w:val="002D3B16"/>
    <w:rsid w:val="002D7BB5"/>
    <w:rsid w:val="002D7CAE"/>
    <w:rsid w:val="002E35B3"/>
    <w:rsid w:val="002F02A0"/>
    <w:rsid w:val="002F7707"/>
    <w:rsid w:val="00300EF3"/>
    <w:rsid w:val="00303133"/>
    <w:rsid w:val="003046C1"/>
    <w:rsid w:val="003064F8"/>
    <w:rsid w:val="003068F4"/>
    <w:rsid w:val="00317C24"/>
    <w:rsid w:val="00323A4C"/>
    <w:rsid w:val="00330CCB"/>
    <w:rsid w:val="00332637"/>
    <w:rsid w:val="003351C3"/>
    <w:rsid w:val="003420EE"/>
    <w:rsid w:val="0034715B"/>
    <w:rsid w:val="003522DA"/>
    <w:rsid w:val="003622D4"/>
    <w:rsid w:val="00363185"/>
    <w:rsid w:val="00363FE7"/>
    <w:rsid w:val="00373341"/>
    <w:rsid w:val="003738F3"/>
    <w:rsid w:val="00374B40"/>
    <w:rsid w:val="0038290D"/>
    <w:rsid w:val="0038436A"/>
    <w:rsid w:val="00391FC8"/>
    <w:rsid w:val="00392327"/>
    <w:rsid w:val="0039453B"/>
    <w:rsid w:val="00396CBE"/>
    <w:rsid w:val="00397A04"/>
    <w:rsid w:val="003A215D"/>
    <w:rsid w:val="003A47BA"/>
    <w:rsid w:val="003A501F"/>
    <w:rsid w:val="003A6D70"/>
    <w:rsid w:val="003A6F96"/>
    <w:rsid w:val="003B06CA"/>
    <w:rsid w:val="003B1A98"/>
    <w:rsid w:val="003B2D49"/>
    <w:rsid w:val="003C059F"/>
    <w:rsid w:val="003C14C4"/>
    <w:rsid w:val="003C707E"/>
    <w:rsid w:val="003D20A8"/>
    <w:rsid w:val="003D3AF7"/>
    <w:rsid w:val="003D75F2"/>
    <w:rsid w:val="003E1CC8"/>
    <w:rsid w:val="003E2622"/>
    <w:rsid w:val="003E4574"/>
    <w:rsid w:val="003E752E"/>
    <w:rsid w:val="003E7CA0"/>
    <w:rsid w:val="00400B2C"/>
    <w:rsid w:val="00402F1E"/>
    <w:rsid w:val="004153E1"/>
    <w:rsid w:val="00420E0B"/>
    <w:rsid w:val="004244C1"/>
    <w:rsid w:val="004270B8"/>
    <w:rsid w:val="0042718A"/>
    <w:rsid w:val="00432F93"/>
    <w:rsid w:val="00444FBC"/>
    <w:rsid w:val="00446EF8"/>
    <w:rsid w:val="0045071C"/>
    <w:rsid w:val="0045241C"/>
    <w:rsid w:val="004627B5"/>
    <w:rsid w:val="00467FE9"/>
    <w:rsid w:val="0047295C"/>
    <w:rsid w:val="00473BFF"/>
    <w:rsid w:val="00490216"/>
    <w:rsid w:val="00492035"/>
    <w:rsid w:val="00495617"/>
    <w:rsid w:val="004A001C"/>
    <w:rsid w:val="004A50B5"/>
    <w:rsid w:val="004B1548"/>
    <w:rsid w:val="004B7FAB"/>
    <w:rsid w:val="004C1083"/>
    <w:rsid w:val="004C220D"/>
    <w:rsid w:val="004C2CE2"/>
    <w:rsid w:val="004C67DA"/>
    <w:rsid w:val="004E2D3C"/>
    <w:rsid w:val="004E3A28"/>
    <w:rsid w:val="004F5840"/>
    <w:rsid w:val="005037AA"/>
    <w:rsid w:val="00507B30"/>
    <w:rsid w:val="00514C53"/>
    <w:rsid w:val="005156A1"/>
    <w:rsid w:val="00530A4B"/>
    <w:rsid w:val="0054006B"/>
    <w:rsid w:val="005415B3"/>
    <w:rsid w:val="005428CC"/>
    <w:rsid w:val="005442EC"/>
    <w:rsid w:val="00546C13"/>
    <w:rsid w:val="0055453A"/>
    <w:rsid w:val="0056304A"/>
    <w:rsid w:val="00565644"/>
    <w:rsid w:val="00567DAA"/>
    <w:rsid w:val="00570DA6"/>
    <w:rsid w:val="00571BAA"/>
    <w:rsid w:val="00574A1F"/>
    <w:rsid w:val="0058049A"/>
    <w:rsid w:val="00584A6D"/>
    <w:rsid w:val="00585394"/>
    <w:rsid w:val="00586F6E"/>
    <w:rsid w:val="00590506"/>
    <w:rsid w:val="00590B7E"/>
    <w:rsid w:val="005935FF"/>
    <w:rsid w:val="0059496F"/>
    <w:rsid w:val="00597173"/>
    <w:rsid w:val="005A07B6"/>
    <w:rsid w:val="005A2718"/>
    <w:rsid w:val="005A7EAB"/>
    <w:rsid w:val="005B20E2"/>
    <w:rsid w:val="005B28B0"/>
    <w:rsid w:val="005B526B"/>
    <w:rsid w:val="005B69F6"/>
    <w:rsid w:val="005C242D"/>
    <w:rsid w:val="005C7EAA"/>
    <w:rsid w:val="005E0DA1"/>
    <w:rsid w:val="005E2F89"/>
    <w:rsid w:val="005E7945"/>
    <w:rsid w:val="005F08D6"/>
    <w:rsid w:val="00601A6E"/>
    <w:rsid w:val="00605695"/>
    <w:rsid w:val="00615C57"/>
    <w:rsid w:val="00621BB2"/>
    <w:rsid w:val="00643AFC"/>
    <w:rsid w:val="00643F70"/>
    <w:rsid w:val="006441BA"/>
    <w:rsid w:val="006450F9"/>
    <w:rsid w:val="00645F03"/>
    <w:rsid w:val="00646089"/>
    <w:rsid w:val="00647E98"/>
    <w:rsid w:val="00650ADA"/>
    <w:rsid w:val="00653E46"/>
    <w:rsid w:val="0065767D"/>
    <w:rsid w:val="006609AF"/>
    <w:rsid w:val="0066110B"/>
    <w:rsid w:val="00661415"/>
    <w:rsid w:val="00661525"/>
    <w:rsid w:val="00667EA9"/>
    <w:rsid w:val="0067209E"/>
    <w:rsid w:val="006821A3"/>
    <w:rsid w:val="00682B37"/>
    <w:rsid w:val="006841DA"/>
    <w:rsid w:val="006875DE"/>
    <w:rsid w:val="00687D72"/>
    <w:rsid w:val="00691136"/>
    <w:rsid w:val="00692241"/>
    <w:rsid w:val="00693CCB"/>
    <w:rsid w:val="00695D9C"/>
    <w:rsid w:val="006A5B0D"/>
    <w:rsid w:val="006B2353"/>
    <w:rsid w:val="006B61C9"/>
    <w:rsid w:val="006C0C57"/>
    <w:rsid w:val="006C23AC"/>
    <w:rsid w:val="006D11DB"/>
    <w:rsid w:val="006D26A9"/>
    <w:rsid w:val="006D38DC"/>
    <w:rsid w:val="006E09EA"/>
    <w:rsid w:val="006E102E"/>
    <w:rsid w:val="006E3461"/>
    <w:rsid w:val="006E43B9"/>
    <w:rsid w:val="006E66D4"/>
    <w:rsid w:val="006F6755"/>
    <w:rsid w:val="00703C36"/>
    <w:rsid w:val="00711753"/>
    <w:rsid w:val="00711C95"/>
    <w:rsid w:val="00713323"/>
    <w:rsid w:val="00715C71"/>
    <w:rsid w:val="0071761D"/>
    <w:rsid w:val="00731733"/>
    <w:rsid w:val="00734826"/>
    <w:rsid w:val="00734CED"/>
    <w:rsid w:val="00736723"/>
    <w:rsid w:val="00736B7C"/>
    <w:rsid w:val="00746EBE"/>
    <w:rsid w:val="00753100"/>
    <w:rsid w:val="00753BDC"/>
    <w:rsid w:val="00757C7A"/>
    <w:rsid w:val="007624B9"/>
    <w:rsid w:val="00763383"/>
    <w:rsid w:val="0076498E"/>
    <w:rsid w:val="0077470E"/>
    <w:rsid w:val="007813D1"/>
    <w:rsid w:val="00783F55"/>
    <w:rsid w:val="00786F58"/>
    <w:rsid w:val="00793203"/>
    <w:rsid w:val="00795481"/>
    <w:rsid w:val="007A0BE8"/>
    <w:rsid w:val="007A436D"/>
    <w:rsid w:val="007A584B"/>
    <w:rsid w:val="007A710D"/>
    <w:rsid w:val="007A7ECB"/>
    <w:rsid w:val="007B3C38"/>
    <w:rsid w:val="007D182C"/>
    <w:rsid w:val="007D62E7"/>
    <w:rsid w:val="007E2D38"/>
    <w:rsid w:val="007E3F6D"/>
    <w:rsid w:val="007E6438"/>
    <w:rsid w:val="007F1416"/>
    <w:rsid w:val="007F58D9"/>
    <w:rsid w:val="007F6E53"/>
    <w:rsid w:val="00807A13"/>
    <w:rsid w:val="00812BDC"/>
    <w:rsid w:val="0081437F"/>
    <w:rsid w:val="0082031B"/>
    <w:rsid w:val="00820695"/>
    <w:rsid w:val="0082201F"/>
    <w:rsid w:val="008224B3"/>
    <w:rsid w:val="008268D2"/>
    <w:rsid w:val="008273FB"/>
    <w:rsid w:val="00836B2E"/>
    <w:rsid w:val="00837A01"/>
    <w:rsid w:val="00843476"/>
    <w:rsid w:val="00843F2E"/>
    <w:rsid w:val="008519BD"/>
    <w:rsid w:val="00852191"/>
    <w:rsid w:val="008530C8"/>
    <w:rsid w:val="008542E9"/>
    <w:rsid w:val="00854801"/>
    <w:rsid w:val="00854DA0"/>
    <w:rsid w:val="00855DB7"/>
    <w:rsid w:val="00860071"/>
    <w:rsid w:val="00867F90"/>
    <w:rsid w:val="0087509B"/>
    <w:rsid w:val="00877B33"/>
    <w:rsid w:val="008805CE"/>
    <w:rsid w:val="00894CCF"/>
    <w:rsid w:val="00895BB6"/>
    <w:rsid w:val="008A39F0"/>
    <w:rsid w:val="008A64FC"/>
    <w:rsid w:val="008A7120"/>
    <w:rsid w:val="008B26C8"/>
    <w:rsid w:val="008B42C2"/>
    <w:rsid w:val="008B749A"/>
    <w:rsid w:val="008C0290"/>
    <w:rsid w:val="008C10B5"/>
    <w:rsid w:val="008C27E9"/>
    <w:rsid w:val="008C47F6"/>
    <w:rsid w:val="008C6D61"/>
    <w:rsid w:val="008D0710"/>
    <w:rsid w:val="008E09DC"/>
    <w:rsid w:val="008E32FD"/>
    <w:rsid w:val="008E7278"/>
    <w:rsid w:val="008F0BD6"/>
    <w:rsid w:val="00903354"/>
    <w:rsid w:val="0091069C"/>
    <w:rsid w:val="00911594"/>
    <w:rsid w:val="00914D2E"/>
    <w:rsid w:val="00917A01"/>
    <w:rsid w:val="00921990"/>
    <w:rsid w:val="009225D9"/>
    <w:rsid w:val="00924D4B"/>
    <w:rsid w:val="00930DF6"/>
    <w:rsid w:val="00933E1D"/>
    <w:rsid w:val="00937D42"/>
    <w:rsid w:val="00952195"/>
    <w:rsid w:val="0095242F"/>
    <w:rsid w:val="009654D7"/>
    <w:rsid w:val="0096574A"/>
    <w:rsid w:val="00965A34"/>
    <w:rsid w:val="009772B0"/>
    <w:rsid w:val="0098215E"/>
    <w:rsid w:val="0098621D"/>
    <w:rsid w:val="00991BD7"/>
    <w:rsid w:val="009943E6"/>
    <w:rsid w:val="00994F3A"/>
    <w:rsid w:val="009A15DA"/>
    <w:rsid w:val="009A1E67"/>
    <w:rsid w:val="009A7540"/>
    <w:rsid w:val="009B06FC"/>
    <w:rsid w:val="009B2B87"/>
    <w:rsid w:val="009C177C"/>
    <w:rsid w:val="009C6C92"/>
    <w:rsid w:val="009C7676"/>
    <w:rsid w:val="009D1202"/>
    <w:rsid w:val="009E4520"/>
    <w:rsid w:val="009F02A7"/>
    <w:rsid w:val="009F740E"/>
    <w:rsid w:val="00A00CF9"/>
    <w:rsid w:val="00A128B4"/>
    <w:rsid w:val="00A16356"/>
    <w:rsid w:val="00A25F2E"/>
    <w:rsid w:val="00A35BE7"/>
    <w:rsid w:val="00A365BE"/>
    <w:rsid w:val="00A36F91"/>
    <w:rsid w:val="00A45936"/>
    <w:rsid w:val="00A470C6"/>
    <w:rsid w:val="00A52DAE"/>
    <w:rsid w:val="00A553CA"/>
    <w:rsid w:val="00A56600"/>
    <w:rsid w:val="00A61E16"/>
    <w:rsid w:val="00A650D6"/>
    <w:rsid w:val="00A655DA"/>
    <w:rsid w:val="00A718A2"/>
    <w:rsid w:val="00A71F4C"/>
    <w:rsid w:val="00A72C04"/>
    <w:rsid w:val="00A7332B"/>
    <w:rsid w:val="00A73CC3"/>
    <w:rsid w:val="00A8173C"/>
    <w:rsid w:val="00A85FB9"/>
    <w:rsid w:val="00A87D67"/>
    <w:rsid w:val="00A90009"/>
    <w:rsid w:val="00A92F2E"/>
    <w:rsid w:val="00A97AC9"/>
    <w:rsid w:val="00A97CD2"/>
    <w:rsid w:val="00AA2233"/>
    <w:rsid w:val="00AA411F"/>
    <w:rsid w:val="00AA6554"/>
    <w:rsid w:val="00AA7C3B"/>
    <w:rsid w:val="00AB626A"/>
    <w:rsid w:val="00AB680F"/>
    <w:rsid w:val="00AB7B81"/>
    <w:rsid w:val="00AC5B72"/>
    <w:rsid w:val="00AC6DCD"/>
    <w:rsid w:val="00AD3D4D"/>
    <w:rsid w:val="00AE465E"/>
    <w:rsid w:val="00AE6076"/>
    <w:rsid w:val="00AE6C2D"/>
    <w:rsid w:val="00AE7D6E"/>
    <w:rsid w:val="00AF066C"/>
    <w:rsid w:val="00B03896"/>
    <w:rsid w:val="00B03B83"/>
    <w:rsid w:val="00B05AF0"/>
    <w:rsid w:val="00B13182"/>
    <w:rsid w:val="00B22080"/>
    <w:rsid w:val="00B23319"/>
    <w:rsid w:val="00B2421E"/>
    <w:rsid w:val="00B24652"/>
    <w:rsid w:val="00B33343"/>
    <w:rsid w:val="00B33ECC"/>
    <w:rsid w:val="00B34A94"/>
    <w:rsid w:val="00B407EF"/>
    <w:rsid w:val="00B46DD7"/>
    <w:rsid w:val="00B55E6C"/>
    <w:rsid w:val="00B561D3"/>
    <w:rsid w:val="00B6798D"/>
    <w:rsid w:val="00B7079A"/>
    <w:rsid w:val="00B7682D"/>
    <w:rsid w:val="00B772E3"/>
    <w:rsid w:val="00B83B84"/>
    <w:rsid w:val="00B87312"/>
    <w:rsid w:val="00B90B37"/>
    <w:rsid w:val="00B927A2"/>
    <w:rsid w:val="00B93C28"/>
    <w:rsid w:val="00B96524"/>
    <w:rsid w:val="00BA62A4"/>
    <w:rsid w:val="00BA7850"/>
    <w:rsid w:val="00BA7E11"/>
    <w:rsid w:val="00BB095E"/>
    <w:rsid w:val="00BB75C0"/>
    <w:rsid w:val="00BC0BCE"/>
    <w:rsid w:val="00BC1170"/>
    <w:rsid w:val="00BC2A2B"/>
    <w:rsid w:val="00BC3FFF"/>
    <w:rsid w:val="00BC6729"/>
    <w:rsid w:val="00BD08AA"/>
    <w:rsid w:val="00BD11FB"/>
    <w:rsid w:val="00BD31DE"/>
    <w:rsid w:val="00BD6A5B"/>
    <w:rsid w:val="00BE2513"/>
    <w:rsid w:val="00BE277D"/>
    <w:rsid w:val="00BE326D"/>
    <w:rsid w:val="00BE3ADC"/>
    <w:rsid w:val="00BE449A"/>
    <w:rsid w:val="00BE44CE"/>
    <w:rsid w:val="00BF3F3B"/>
    <w:rsid w:val="00BF7557"/>
    <w:rsid w:val="00C05139"/>
    <w:rsid w:val="00C05F0D"/>
    <w:rsid w:val="00C10CA0"/>
    <w:rsid w:val="00C146F6"/>
    <w:rsid w:val="00C15A66"/>
    <w:rsid w:val="00C1602C"/>
    <w:rsid w:val="00C201AA"/>
    <w:rsid w:val="00C20888"/>
    <w:rsid w:val="00C21390"/>
    <w:rsid w:val="00C2172E"/>
    <w:rsid w:val="00C25B60"/>
    <w:rsid w:val="00C26C8B"/>
    <w:rsid w:val="00C275C9"/>
    <w:rsid w:val="00C3237D"/>
    <w:rsid w:val="00C35B33"/>
    <w:rsid w:val="00C36B02"/>
    <w:rsid w:val="00C375B3"/>
    <w:rsid w:val="00C41529"/>
    <w:rsid w:val="00C50009"/>
    <w:rsid w:val="00C527C7"/>
    <w:rsid w:val="00C57645"/>
    <w:rsid w:val="00C60949"/>
    <w:rsid w:val="00C649F9"/>
    <w:rsid w:val="00C64B06"/>
    <w:rsid w:val="00C65926"/>
    <w:rsid w:val="00C6615D"/>
    <w:rsid w:val="00C701C1"/>
    <w:rsid w:val="00C70BED"/>
    <w:rsid w:val="00C7373B"/>
    <w:rsid w:val="00C73930"/>
    <w:rsid w:val="00C74A53"/>
    <w:rsid w:val="00C810EE"/>
    <w:rsid w:val="00C87B62"/>
    <w:rsid w:val="00C90643"/>
    <w:rsid w:val="00C91C91"/>
    <w:rsid w:val="00C93694"/>
    <w:rsid w:val="00C94AFF"/>
    <w:rsid w:val="00C97C89"/>
    <w:rsid w:val="00CA3678"/>
    <w:rsid w:val="00CA3D38"/>
    <w:rsid w:val="00CA4476"/>
    <w:rsid w:val="00CA55A3"/>
    <w:rsid w:val="00CA6618"/>
    <w:rsid w:val="00CA71FE"/>
    <w:rsid w:val="00CB1A30"/>
    <w:rsid w:val="00CC13FE"/>
    <w:rsid w:val="00CC1743"/>
    <w:rsid w:val="00CC2FC7"/>
    <w:rsid w:val="00CC3BAF"/>
    <w:rsid w:val="00CC3EB9"/>
    <w:rsid w:val="00CC422C"/>
    <w:rsid w:val="00CC47A2"/>
    <w:rsid w:val="00CC7FC4"/>
    <w:rsid w:val="00CD05B7"/>
    <w:rsid w:val="00CD1AB8"/>
    <w:rsid w:val="00CD1C86"/>
    <w:rsid w:val="00CD4D53"/>
    <w:rsid w:val="00CD5CF4"/>
    <w:rsid w:val="00CD6B6B"/>
    <w:rsid w:val="00CD729D"/>
    <w:rsid w:val="00CE090A"/>
    <w:rsid w:val="00CE2C4D"/>
    <w:rsid w:val="00CE610B"/>
    <w:rsid w:val="00CF0118"/>
    <w:rsid w:val="00D00C63"/>
    <w:rsid w:val="00D0460E"/>
    <w:rsid w:val="00D04843"/>
    <w:rsid w:val="00D05397"/>
    <w:rsid w:val="00D11A07"/>
    <w:rsid w:val="00D1207F"/>
    <w:rsid w:val="00D32D94"/>
    <w:rsid w:val="00D3323E"/>
    <w:rsid w:val="00D337F7"/>
    <w:rsid w:val="00D35820"/>
    <w:rsid w:val="00D408AA"/>
    <w:rsid w:val="00D414C1"/>
    <w:rsid w:val="00D433E2"/>
    <w:rsid w:val="00D471BC"/>
    <w:rsid w:val="00D56DCB"/>
    <w:rsid w:val="00D56FF6"/>
    <w:rsid w:val="00D6195C"/>
    <w:rsid w:val="00D61F57"/>
    <w:rsid w:val="00D64D4D"/>
    <w:rsid w:val="00D6521F"/>
    <w:rsid w:val="00D7026E"/>
    <w:rsid w:val="00D72E50"/>
    <w:rsid w:val="00D73DA2"/>
    <w:rsid w:val="00D75126"/>
    <w:rsid w:val="00D8027D"/>
    <w:rsid w:val="00D81CAD"/>
    <w:rsid w:val="00D86C61"/>
    <w:rsid w:val="00D871E8"/>
    <w:rsid w:val="00D87983"/>
    <w:rsid w:val="00D9001F"/>
    <w:rsid w:val="00D92AD2"/>
    <w:rsid w:val="00DA1C07"/>
    <w:rsid w:val="00DA1D05"/>
    <w:rsid w:val="00DA2F22"/>
    <w:rsid w:val="00DB13A8"/>
    <w:rsid w:val="00DB624B"/>
    <w:rsid w:val="00DB6D8C"/>
    <w:rsid w:val="00DC6A7C"/>
    <w:rsid w:val="00DC742E"/>
    <w:rsid w:val="00DD0ED4"/>
    <w:rsid w:val="00DD4F1C"/>
    <w:rsid w:val="00DD7DF5"/>
    <w:rsid w:val="00DE34E0"/>
    <w:rsid w:val="00DF104F"/>
    <w:rsid w:val="00DF5C7C"/>
    <w:rsid w:val="00DF7E2C"/>
    <w:rsid w:val="00E02FC5"/>
    <w:rsid w:val="00E03CBD"/>
    <w:rsid w:val="00E1114A"/>
    <w:rsid w:val="00E1209E"/>
    <w:rsid w:val="00E24539"/>
    <w:rsid w:val="00E25717"/>
    <w:rsid w:val="00E32CBC"/>
    <w:rsid w:val="00E33F6C"/>
    <w:rsid w:val="00E3515E"/>
    <w:rsid w:val="00E50BEB"/>
    <w:rsid w:val="00E54166"/>
    <w:rsid w:val="00E54313"/>
    <w:rsid w:val="00E544D3"/>
    <w:rsid w:val="00E553FE"/>
    <w:rsid w:val="00E574E0"/>
    <w:rsid w:val="00E57C7D"/>
    <w:rsid w:val="00E610BE"/>
    <w:rsid w:val="00E6785E"/>
    <w:rsid w:val="00E81780"/>
    <w:rsid w:val="00E819CF"/>
    <w:rsid w:val="00E8404C"/>
    <w:rsid w:val="00E8547A"/>
    <w:rsid w:val="00E90A83"/>
    <w:rsid w:val="00E919E1"/>
    <w:rsid w:val="00E93FC2"/>
    <w:rsid w:val="00E9479B"/>
    <w:rsid w:val="00EA157F"/>
    <w:rsid w:val="00EA537F"/>
    <w:rsid w:val="00EA67E9"/>
    <w:rsid w:val="00EB42F2"/>
    <w:rsid w:val="00EB5819"/>
    <w:rsid w:val="00EB592B"/>
    <w:rsid w:val="00EC3111"/>
    <w:rsid w:val="00EC4F83"/>
    <w:rsid w:val="00EC5E80"/>
    <w:rsid w:val="00ED26A9"/>
    <w:rsid w:val="00ED2B54"/>
    <w:rsid w:val="00ED7919"/>
    <w:rsid w:val="00EE0A02"/>
    <w:rsid w:val="00EE19AA"/>
    <w:rsid w:val="00EE5599"/>
    <w:rsid w:val="00EE5D86"/>
    <w:rsid w:val="00EE6078"/>
    <w:rsid w:val="00EE63E2"/>
    <w:rsid w:val="00EE6B81"/>
    <w:rsid w:val="00EF0A46"/>
    <w:rsid w:val="00EF48C7"/>
    <w:rsid w:val="00EF505D"/>
    <w:rsid w:val="00EF5C88"/>
    <w:rsid w:val="00EF6304"/>
    <w:rsid w:val="00EF65B6"/>
    <w:rsid w:val="00F037BE"/>
    <w:rsid w:val="00F03932"/>
    <w:rsid w:val="00F03C9E"/>
    <w:rsid w:val="00F04BEE"/>
    <w:rsid w:val="00F05637"/>
    <w:rsid w:val="00F203AF"/>
    <w:rsid w:val="00F25FC1"/>
    <w:rsid w:val="00F26494"/>
    <w:rsid w:val="00F323FD"/>
    <w:rsid w:val="00F37990"/>
    <w:rsid w:val="00F37D53"/>
    <w:rsid w:val="00F40DDD"/>
    <w:rsid w:val="00F41294"/>
    <w:rsid w:val="00F51B21"/>
    <w:rsid w:val="00F566A9"/>
    <w:rsid w:val="00F56B12"/>
    <w:rsid w:val="00F6184A"/>
    <w:rsid w:val="00F624A8"/>
    <w:rsid w:val="00F63834"/>
    <w:rsid w:val="00F705FE"/>
    <w:rsid w:val="00F715E4"/>
    <w:rsid w:val="00F71A33"/>
    <w:rsid w:val="00F944ED"/>
    <w:rsid w:val="00F96AB4"/>
    <w:rsid w:val="00FA2792"/>
    <w:rsid w:val="00FA2B26"/>
    <w:rsid w:val="00FB16DC"/>
    <w:rsid w:val="00FB4CF9"/>
    <w:rsid w:val="00FB5B71"/>
    <w:rsid w:val="00FC1F4E"/>
    <w:rsid w:val="00FC2849"/>
    <w:rsid w:val="00FD7109"/>
    <w:rsid w:val="00FE1C4C"/>
    <w:rsid w:val="00FE2C93"/>
    <w:rsid w:val="00FF2022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7D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3CB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110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223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D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3C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110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2233"/>
    <w:rPr>
      <w:rFonts w:ascii="Calibri" w:hAnsi="Calibri" w:cs="Calibri"/>
      <w:b/>
      <w:bCs/>
      <w:sz w:val="28"/>
      <w:szCs w:val="28"/>
    </w:rPr>
  </w:style>
  <w:style w:type="paragraph" w:customStyle="1" w:styleId="11">
    <w:name w:val="Должность1"/>
    <w:basedOn w:val="a"/>
    <w:uiPriority w:val="99"/>
    <w:rsid w:val="00E03CBD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3C14C4"/>
    <w:pPr>
      <w:ind w:left="720"/>
    </w:pPr>
  </w:style>
  <w:style w:type="character" w:customStyle="1" w:styleId="TextNPA">
    <w:name w:val="Text NPA"/>
    <w:uiPriority w:val="99"/>
    <w:rsid w:val="0066110B"/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E8404C"/>
    <w:pPr>
      <w:spacing w:before="100" w:beforeAutospacing="1" w:after="100" w:afterAutospacing="1"/>
    </w:pPr>
  </w:style>
  <w:style w:type="paragraph" w:customStyle="1" w:styleId="Pro-List1">
    <w:name w:val="Pro-List #1"/>
    <w:basedOn w:val="a"/>
    <w:link w:val="Pro-List10"/>
    <w:uiPriority w:val="99"/>
    <w:rsid w:val="0042718A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uiPriority w:val="99"/>
    <w:locked/>
    <w:rsid w:val="0042718A"/>
    <w:rPr>
      <w:rFonts w:ascii="Georgia" w:hAnsi="Georgia" w:cs="Georgia"/>
      <w:sz w:val="24"/>
      <w:szCs w:val="24"/>
    </w:rPr>
  </w:style>
  <w:style w:type="paragraph" w:styleId="a5">
    <w:name w:val="header"/>
    <w:basedOn w:val="a"/>
    <w:link w:val="a6"/>
    <w:uiPriority w:val="99"/>
    <w:rsid w:val="00F63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6383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638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3834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152F5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A733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A7332B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A7332B"/>
    <w:rPr>
      <w:vertAlign w:val="superscript"/>
    </w:rPr>
  </w:style>
  <w:style w:type="paragraph" w:customStyle="1" w:styleId="ConsPlusNormal">
    <w:name w:val="ConsPlusNormal"/>
    <w:uiPriority w:val="99"/>
    <w:rsid w:val="00F71A3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B233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2331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67209E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7F35A024AB7FD257548BEA20F303DA2D07869E825861FB90ECA1797B992CF649CAF4426FF4676F79D861REG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AE6CC4B53C2D733E3ADAAD993FF0D07004D191512166A5A2D2CA10B19D1C79B0A6BBA11CA26CB4u2I8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AE6CC4B53C2D733E3ADAAD993FF0D07004D9945E2F66A5A2D2CA10B19D1C79B0A6BBA11CA36DB6u2I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B56018B30D70EE6D0025AA74E6D9E43CF215FC6C4E420C3D5A1B65ECFF0F3D889E6057A94A8480O4e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EB7C-59EE-4180-A5FD-0933B1BB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7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 Алексеевна Исакова</cp:lastModifiedBy>
  <cp:revision>59</cp:revision>
  <cp:lastPrinted>2013-12-25T10:08:00Z</cp:lastPrinted>
  <dcterms:created xsi:type="dcterms:W3CDTF">2013-07-04T05:21:00Z</dcterms:created>
  <dcterms:modified xsi:type="dcterms:W3CDTF">2013-12-25T10:08:00Z</dcterms:modified>
</cp:coreProperties>
</file>